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421337B4"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#9</w:t>
      </w:r>
      <w:r w:rsidR="0006342B">
        <w:rPr>
          <w:rFonts w:ascii="Arial" w:eastAsia="Times New Roman" w:hAnsi="Arial" w:cs="Arial"/>
          <w:b/>
          <w:sz w:val="24"/>
          <w:szCs w:val="24"/>
          <w:lang w:val="en-GB"/>
        </w:rPr>
        <w:t>7</w:t>
      </w:r>
      <w:r w:rsidR="00C82B50" w:rsidRPr="0040001F">
        <w:rPr>
          <w:rFonts w:ascii="Arial" w:eastAsia="Times New Roman" w:hAnsi="Arial" w:cs="Arial"/>
          <w:b/>
          <w:sz w:val="24"/>
          <w:szCs w:val="24"/>
          <w:lang w:val="en-GB"/>
        </w:rPr>
        <w:t>e</w:t>
      </w:r>
      <w:r>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7C79F0" w:rsidRPr="007C79F0">
        <w:rPr>
          <w:rFonts w:ascii="Arial" w:eastAsia="Times New Roman" w:hAnsi="Arial" w:cs="Arial"/>
          <w:b/>
          <w:sz w:val="24"/>
          <w:szCs w:val="24"/>
          <w:lang w:val="en-GB"/>
        </w:rPr>
        <w:t>R4-2015563</w:t>
      </w:r>
    </w:p>
    <w:p w14:paraId="00238F8F" w14:textId="6254A2C1"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06342B">
        <w:rPr>
          <w:rFonts w:cs="Arial"/>
          <w:b/>
          <w:sz w:val="24"/>
          <w:szCs w:val="24"/>
        </w:rPr>
        <w:t>2 – 13 November</w:t>
      </w:r>
      <w:r w:rsidR="007C43EE">
        <w:rPr>
          <w:rFonts w:cs="Arial"/>
          <w:b/>
          <w:sz w:val="24"/>
          <w:szCs w:val="24"/>
        </w:rPr>
        <w:t>,</w:t>
      </w:r>
      <w:r w:rsidR="005C666F">
        <w:rPr>
          <w:rFonts w:cs="Arial"/>
          <w:b/>
          <w:sz w:val="24"/>
          <w:szCs w:val="24"/>
        </w:rPr>
        <w:t xml:space="preserve"> 20</w:t>
      </w:r>
      <w:bookmarkEnd w:id="0"/>
      <w:r w:rsidR="00C82B50">
        <w:rPr>
          <w:rFonts w:cs="Arial"/>
          <w:b/>
          <w:sz w:val="24"/>
          <w:szCs w:val="24"/>
        </w:rPr>
        <w:t>20</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72B9DE79"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0511" w:rsidRPr="00BF0511">
        <w:rPr>
          <w:rFonts w:ascii="Arial" w:eastAsia="MS Mincho" w:hAnsi="Arial" w:cs="Arial"/>
          <w:lang w:eastAsia="ja-JP"/>
        </w:rPr>
        <w:t xml:space="preserve">On </w:t>
      </w:r>
      <w:r w:rsidR="00D74733">
        <w:rPr>
          <w:rFonts w:ascii="Arial" w:eastAsia="MS Mincho" w:hAnsi="Arial" w:cs="Arial"/>
          <w:lang w:eastAsia="ja-JP"/>
        </w:rPr>
        <w:t>numerology and channel bandwidth in 52.6 – 71 GHz</w:t>
      </w:r>
      <w:r w:rsidR="00101C9A">
        <w:rPr>
          <w:rFonts w:ascii="Arial" w:eastAsia="MS Mincho" w:hAnsi="Arial" w:cs="Arial"/>
          <w:lang w:eastAsia="ja-JP"/>
        </w:rPr>
        <w:t xml:space="preserve"> </w:t>
      </w:r>
    </w:p>
    <w:p w14:paraId="4F2055CD" w14:textId="314F28A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01C9A">
        <w:rPr>
          <w:rFonts w:ascii="Arial" w:eastAsia="MS Mincho" w:hAnsi="Arial" w:cs="Arial"/>
        </w:rPr>
        <w:t>13.</w:t>
      </w:r>
      <w:r w:rsidR="005E4A6C">
        <w:rPr>
          <w:rFonts w:ascii="Arial" w:eastAsia="MS Mincho" w:hAnsi="Arial" w:cs="Arial"/>
        </w:rPr>
        <w:t>2.1.1</w:t>
      </w:r>
    </w:p>
    <w:p w14:paraId="26887F74" w14:textId="34E24E35"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5E4A6C">
        <w:rPr>
          <w:rFonts w:ascii="Arial" w:eastAsia="MS Mincho" w:hAnsi="Arial" w:cs="Arial"/>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21649768" w14:textId="7D187C99" w:rsidR="00635641" w:rsidRDefault="00D74733" w:rsidP="00F268D5">
      <w:r>
        <w:t>In RAN4#96e, numerologies and channel bandwidths were discussed</w:t>
      </w:r>
      <w:r w:rsidR="0059597D">
        <w:t xml:space="preserve">. </w:t>
      </w:r>
      <w:r>
        <w:t xml:space="preserve">the WF [1] was approved. </w:t>
      </w:r>
      <w:r w:rsidR="001C3BBE">
        <w:t>In this paper, we continue to discuss some analysis we have evaluated and share our views.</w:t>
      </w:r>
    </w:p>
    <w:p w14:paraId="1228BD04" w14:textId="2AC0F613" w:rsidR="00536054" w:rsidRPr="00BE7FF4" w:rsidRDefault="00BE7FF4" w:rsidP="00BE7FF4">
      <w:pPr>
        <w:pStyle w:val="Heading1"/>
      </w:pPr>
      <w:r>
        <w:t>Discussion</w:t>
      </w:r>
    </w:p>
    <w:p w14:paraId="25D71100" w14:textId="33336D4A" w:rsidR="0059597D" w:rsidRPr="0059597D" w:rsidRDefault="0059597D" w:rsidP="005E4A6C">
      <w:pPr>
        <w:pStyle w:val="TdocText"/>
        <w:spacing w:before="0"/>
        <w:ind w:firstLine="0"/>
        <w:rPr>
          <w:b/>
          <w:bCs/>
          <w:sz w:val="24"/>
          <w:szCs w:val="24"/>
          <w:lang w:eastAsia="zh-CN"/>
        </w:rPr>
      </w:pPr>
      <w:r w:rsidRPr="0059597D">
        <w:rPr>
          <w:b/>
          <w:bCs/>
          <w:sz w:val="24"/>
          <w:szCs w:val="24"/>
          <w:lang w:eastAsia="zh-CN"/>
        </w:rPr>
        <w:t>General aspects of numerology and channel bandwidth</w:t>
      </w:r>
    </w:p>
    <w:p w14:paraId="741BD1BF" w14:textId="1D509894" w:rsidR="005E4A6C" w:rsidRPr="000A5116" w:rsidRDefault="005E4A6C" w:rsidP="005E4A6C">
      <w:pPr>
        <w:pStyle w:val="TdocText"/>
        <w:spacing w:before="0"/>
        <w:ind w:firstLine="0"/>
        <w:rPr>
          <w:sz w:val="20"/>
          <w:lang w:eastAsia="zh-CN"/>
        </w:rPr>
      </w:pPr>
      <w:r w:rsidRPr="000A5116">
        <w:rPr>
          <w:sz w:val="20"/>
          <w:lang w:eastAsia="zh-CN"/>
        </w:rPr>
        <w:t>As indicated in the SID, existing DL/UL waveform is employed to support operation between 52.6</w:t>
      </w:r>
      <w:r w:rsidR="001C3BBE">
        <w:rPr>
          <w:sz w:val="20"/>
          <w:lang w:eastAsia="zh-CN"/>
        </w:rPr>
        <w:t xml:space="preserve"> </w:t>
      </w:r>
      <w:r w:rsidRPr="000A5116">
        <w:rPr>
          <w:sz w:val="20"/>
          <w:lang w:eastAsia="zh-CN"/>
        </w:rPr>
        <w:t>GHz and 71</w:t>
      </w:r>
      <w:r w:rsidR="001C3BBE">
        <w:rPr>
          <w:sz w:val="20"/>
          <w:lang w:eastAsia="zh-CN"/>
        </w:rPr>
        <w:t xml:space="preserve"> </w:t>
      </w:r>
      <w:r w:rsidRPr="000A5116">
        <w:rPr>
          <w:sz w:val="20"/>
          <w:lang w:eastAsia="zh-CN"/>
        </w:rPr>
        <w:t xml:space="preserve">GHz. Note that the selection of numerologies can follow design principle as defined in NR Rel-15. More specifically, subcarrier spacing at this frequency range can be equal to </w:t>
      </w:r>
      <m:oMath>
        <m:sSup>
          <m:sSupPr>
            <m:ctrlPr>
              <w:rPr>
                <w:rFonts w:ascii="Cambria Math" w:hAnsi="Cambria Math"/>
                <w:i/>
                <w:sz w:val="20"/>
                <w:lang w:eastAsia="zh-CN"/>
              </w:rPr>
            </m:ctrlPr>
          </m:sSupPr>
          <m:e>
            <m:r>
              <w:rPr>
                <w:rFonts w:ascii="Cambria Math" w:hAnsi="Cambria Math"/>
                <w:sz w:val="20"/>
                <w:lang w:eastAsia="zh-CN"/>
              </w:rPr>
              <m:t>2</m:t>
            </m:r>
          </m:e>
          <m:sup>
            <m:r>
              <w:rPr>
                <w:rFonts w:ascii="Cambria Math" w:hAnsi="Cambria Math"/>
                <w:sz w:val="20"/>
                <w:lang w:eastAsia="zh-CN"/>
              </w:rPr>
              <m:t>μ</m:t>
            </m:r>
          </m:sup>
        </m:sSup>
        <m:r>
          <w:rPr>
            <w:rFonts w:ascii="Cambria Math" w:hAnsi="Cambria Math"/>
            <w:sz w:val="20"/>
            <w:lang w:eastAsia="zh-CN"/>
          </w:rPr>
          <m:t>×15</m:t>
        </m:r>
      </m:oMath>
      <w:r w:rsidRPr="000A5116">
        <w:rPr>
          <w:sz w:val="20"/>
          <w:lang w:eastAsia="zh-CN"/>
        </w:rPr>
        <w:t xml:space="preserve">kHz, where </w:t>
      </w:r>
      <m:oMath>
        <m:r>
          <w:rPr>
            <w:rFonts w:ascii="Cambria Math" w:hAnsi="Cambria Math"/>
            <w:sz w:val="20"/>
            <w:lang w:eastAsia="zh-CN"/>
          </w:rPr>
          <m:t>μ</m:t>
        </m:r>
      </m:oMath>
      <w:r w:rsidRPr="000A5116">
        <w:rPr>
          <w:sz w:val="20"/>
          <w:lang w:eastAsia="zh-CN"/>
        </w:rPr>
        <w:t xml:space="preserve"> is a positive integer number. Further, symbol- and subframe-level boundary alignment across different subcarrier spacings with same CP overhead is defined, which can help in achieving seamless coexistence when mixed numerologies are employed in the same frequency band. </w:t>
      </w:r>
    </w:p>
    <w:p w14:paraId="6A4A7E93" w14:textId="14203827" w:rsidR="005E4A6C" w:rsidRDefault="005E4A6C" w:rsidP="005E4A6C">
      <w:pPr>
        <w:spacing w:after="240"/>
        <w:jc w:val="both"/>
        <w:rPr>
          <w:lang w:eastAsia="zh-CN"/>
        </w:rPr>
      </w:pPr>
      <w:r>
        <w:rPr>
          <w:lang w:eastAsia="zh-CN"/>
        </w:rPr>
        <w:t xml:space="preserve">Selection of the potential subcarrier spacing requires consideration of not only RF impairments such as phase noise, but should factor into account implementation complexity, how wider bandwidths could be supported, and standard specification impact. </w:t>
      </w:r>
      <w:r w:rsidRPr="000A5116">
        <w:rPr>
          <w:lang w:eastAsia="zh-CN"/>
        </w:rPr>
        <w:t>Compared to FR2 where subcarrier spacings with 60</w:t>
      </w:r>
      <w:r w:rsidR="001C3BBE">
        <w:rPr>
          <w:lang w:eastAsia="zh-CN"/>
        </w:rPr>
        <w:t xml:space="preserve"> </w:t>
      </w:r>
      <w:r w:rsidRPr="000A5116">
        <w:rPr>
          <w:lang w:eastAsia="zh-CN"/>
        </w:rPr>
        <w:t>kHz and 120</w:t>
      </w:r>
      <w:r w:rsidR="001C3BBE">
        <w:rPr>
          <w:lang w:eastAsia="zh-CN"/>
        </w:rPr>
        <w:t xml:space="preserve"> </w:t>
      </w:r>
      <w:r w:rsidRPr="000A5116">
        <w:rPr>
          <w:lang w:eastAsia="zh-CN"/>
        </w:rPr>
        <w:t>kHz are specified for data and control channel, and 120</w:t>
      </w:r>
      <w:r w:rsidR="001C3BBE">
        <w:rPr>
          <w:lang w:eastAsia="zh-CN"/>
        </w:rPr>
        <w:t xml:space="preserve"> </w:t>
      </w:r>
      <w:r w:rsidRPr="000A5116">
        <w:rPr>
          <w:lang w:eastAsia="zh-CN"/>
        </w:rPr>
        <w:t>kHz and 240</w:t>
      </w:r>
      <w:r w:rsidR="001C3BBE">
        <w:rPr>
          <w:lang w:eastAsia="zh-CN"/>
        </w:rPr>
        <w:t xml:space="preserve"> </w:t>
      </w:r>
      <w:r w:rsidRPr="000A5116">
        <w:rPr>
          <w:lang w:eastAsia="zh-CN"/>
        </w:rPr>
        <w:t>kHz are specified for SSB transmission, a larger subcarrier spacing is envisioned for carrier frequency between 52.6</w:t>
      </w:r>
      <w:r w:rsidR="001C3BBE">
        <w:rPr>
          <w:lang w:eastAsia="zh-CN"/>
        </w:rPr>
        <w:t xml:space="preserve"> </w:t>
      </w:r>
      <w:r w:rsidRPr="000A5116">
        <w:rPr>
          <w:lang w:eastAsia="zh-CN"/>
        </w:rPr>
        <w:t>GHz and 71</w:t>
      </w:r>
      <w:r w:rsidR="001C3BBE">
        <w:rPr>
          <w:lang w:eastAsia="zh-CN"/>
        </w:rPr>
        <w:t xml:space="preserve"> </w:t>
      </w:r>
      <w:r w:rsidRPr="000A5116">
        <w:rPr>
          <w:lang w:eastAsia="zh-CN"/>
        </w:rPr>
        <w:t>GHz, to combat more severe phase noise.</w:t>
      </w:r>
    </w:p>
    <w:p w14:paraId="46E6C6B6" w14:textId="6800A20B" w:rsidR="005E4A6C" w:rsidRDefault="005E4A6C" w:rsidP="005E4A6C">
      <w:pPr>
        <w:spacing w:after="240"/>
        <w:jc w:val="both"/>
        <w:rPr>
          <w:lang w:eastAsia="zh-CN"/>
        </w:rPr>
      </w:pPr>
      <w:r w:rsidRPr="000A5116">
        <w:rPr>
          <w:lang w:eastAsia="zh-CN"/>
        </w:rPr>
        <w:fldChar w:fldCharType="begin"/>
      </w:r>
      <w:r w:rsidRPr="000A5116">
        <w:rPr>
          <w:lang w:eastAsia="zh-CN"/>
        </w:rPr>
        <w:instrText xml:space="preserve"> REF _Ref47257008 \h  \* MERGEFORMAT </w:instrText>
      </w:r>
      <w:r w:rsidRPr="000A5116">
        <w:rPr>
          <w:lang w:eastAsia="zh-CN"/>
        </w:rPr>
      </w:r>
      <w:r w:rsidRPr="000A5116">
        <w:rPr>
          <w:lang w:eastAsia="zh-CN"/>
        </w:rPr>
        <w:fldChar w:fldCharType="separate"/>
      </w:r>
      <w:r w:rsidRPr="000A5116">
        <w:t xml:space="preserve">Table </w:t>
      </w:r>
      <w:r>
        <w:rPr>
          <w:noProof/>
        </w:rPr>
        <w:t>1</w:t>
      </w:r>
      <w:r w:rsidRPr="000A5116">
        <w:rPr>
          <w:lang w:eastAsia="zh-CN"/>
        </w:rPr>
        <w:fldChar w:fldCharType="end"/>
      </w:r>
      <w:r w:rsidRPr="000A5116">
        <w:rPr>
          <w:lang w:eastAsia="zh-CN"/>
        </w:rPr>
        <w:t xml:space="preserve"> summarizes the candidate numerologies for carrier frequency between 52.6</w:t>
      </w:r>
      <w:r w:rsidR="001C3BBE">
        <w:rPr>
          <w:lang w:eastAsia="zh-CN"/>
        </w:rPr>
        <w:t xml:space="preserve"> </w:t>
      </w:r>
      <w:r w:rsidRPr="000A5116">
        <w:rPr>
          <w:lang w:eastAsia="zh-CN"/>
        </w:rPr>
        <w:t>GHz and 71</w:t>
      </w:r>
      <w:r w:rsidR="001C3BBE">
        <w:rPr>
          <w:lang w:eastAsia="zh-CN"/>
        </w:rPr>
        <w:t xml:space="preserve"> </w:t>
      </w:r>
      <w:r w:rsidRPr="000A5116">
        <w:rPr>
          <w:lang w:eastAsia="zh-CN"/>
        </w:rPr>
        <w:t>GHz with normal CP. Note that in the table, slot duration is calculated for the slots other than first slot of 0.5ms duration. For the first slot of 0.5</w:t>
      </w:r>
      <w:r w:rsidR="001C3BBE">
        <w:rPr>
          <w:lang w:eastAsia="zh-CN"/>
        </w:rPr>
        <w:t xml:space="preserve"> </w:t>
      </w:r>
      <w:r w:rsidRPr="000A5116">
        <w:rPr>
          <w:lang w:eastAsia="zh-CN"/>
        </w:rPr>
        <w:t>ms duration, additional 0.52</w:t>
      </w:r>
      <w:r w:rsidR="001C3BBE">
        <w:rPr>
          <w:lang w:eastAsia="zh-CN"/>
        </w:rPr>
        <w:t xml:space="preserve"> </w:t>
      </w:r>
      <w:r w:rsidRPr="000A5116">
        <w:rPr>
          <w:i/>
          <w:iCs/>
          <w:lang w:eastAsia="zh-CN"/>
        </w:rPr>
        <w:t>µ</w:t>
      </w:r>
      <w:r w:rsidRPr="000A5116">
        <w:rPr>
          <w:lang w:eastAsia="zh-CN"/>
        </w:rPr>
        <w:t>s is needed to align the symbol- and slot boundary as for smaller subcarrier spacing in FR1 and FR2.</w:t>
      </w:r>
    </w:p>
    <w:p w14:paraId="754B7773" w14:textId="77777777" w:rsidR="00621A15" w:rsidRPr="000A5116" w:rsidRDefault="00621A15" w:rsidP="005E4A6C">
      <w:pPr>
        <w:spacing w:after="240"/>
        <w:jc w:val="both"/>
        <w:rPr>
          <w:lang w:eastAsia="zh-CN"/>
        </w:rPr>
      </w:pPr>
    </w:p>
    <w:tbl>
      <w:tblPr>
        <w:tblStyle w:val="TableGrid10"/>
        <w:tblW w:w="0" w:type="auto"/>
        <w:tblInd w:w="974" w:type="dxa"/>
        <w:tblLook w:val="04A0" w:firstRow="1" w:lastRow="0" w:firstColumn="1" w:lastColumn="0" w:noHBand="0" w:noVBand="1"/>
      </w:tblPr>
      <w:tblGrid>
        <w:gridCol w:w="1925"/>
        <w:gridCol w:w="1440"/>
        <w:gridCol w:w="1440"/>
        <w:gridCol w:w="1440"/>
        <w:gridCol w:w="1440"/>
      </w:tblGrid>
      <w:tr w:rsidR="005E4A6C" w:rsidRPr="00605C30" w14:paraId="0B2FBB33" w14:textId="77777777" w:rsidTr="004438DA">
        <w:trPr>
          <w:trHeight w:val="288"/>
        </w:trPr>
        <w:tc>
          <w:tcPr>
            <w:tcW w:w="1925" w:type="dxa"/>
            <w:shd w:val="clear" w:color="auto" w:fill="D9D9D9" w:themeFill="background1" w:themeFillShade="D9"/>
            <w:vAlign w:val="center"/>
          </w:tcPr>
          <w:p w14:paraId="332E5CA2" w14:textId="77777777" w:rsidR="005E4A6C" w:rsidRPr="00605C30" w:rsidRDefault="005E4A6C" w:rsidP="004438DA">
            <w:pPr>
              <w:spacing w:before="0" w:after="0" w:line="240" w:lineRule="auto"/>
              <w:jc w:val="center"/>
              <w:rPr>
                <w:rFonts w:eastAsia="Times New Roman"/>
                <w:i/>
                <w:iCs/>
                <w:lang w:eastAsia="zh-CN"/>
              </w:rPr>
            </w:pPr>
            <w:r w:rsidRPr="00605C30">
              <w:rPr>
                <w:rFonts w:eastAsia="Times New Roman"/>
                <w:i/>
                <w:iCs/>
                <w:lang w:eastAsia="zh-CN"/>
              </w:rPr>
              <w:t>µ</w:t>
            </w:r>
          </w:p>
        </w:tc>
        <w:tc>
          <w:tcPr>
            <w:tcW w:w="1440" w:type="dxa"/>
            <w:shd w:val="clear" w:color="auto" w:fill="D9D9D9" w:themeFill="background1" w:themeFillShade="D9"/>
            <w:vAlign w:val="center"/>
          </w:tcPr>
          <w:p w14:paraId="14A484FA" w14:textId="77777777"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4</w:t>
            </w:r>
          </w:p>
        </w:tc>
        <w:tc>
          <w:tcPr>
            <w:tcW w:w="1440" w:type="dxa"/>
            <w:shd w:val="clear" w:color="auto" w:fill="D9D9D9" w:themeFill="background1" w:themeFillShade="D9"/>
            <w:vAlign w:val="center"/>
          </w:tcPr>
          <w:p w14:paraId="068E214C" w14:textId="77777777"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5</w:t>
            </w:r>
          </w:p>
        </w:tc>
        <w:tc>
          <w:tcPr>
            <w:tcW w:w="1440" w:type="dxa"/>
            <w:shd w:val="clear" w:color="auto" w:fill="D9D9D9" w:themeFill="background1" w:themeFillShade="D9"/>
            <w:vAlign w:val="center"/>
          </w:tcPr>
          <w:p w14:paraId="15A0161C" w14:textId="77777777"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6</w:t>
            </w:r>
          </w:p>
        </w:tc>
        <w:tc>
          <w:tcPr>
            <w:tcW w:w="1440" w:type="dxa"/>
            <w:shd w:val="clear" w:color="auto" w:fill="D9D9D9" w:themeFill="background1" w:themeFillShade="D9"/>
            <w:vAlign w:val="center"/>
          </w:tcPr>
          <w:p w14:paraId="397CFE2C" w14:textId="77777777"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7</w:t>
            </w:r>
          </w:p>
        </w:tc>
      </w:tr>
      <w:tr w:rsidR="005E4A6C" w:rsidRPr="00605C30" w14:paraId="51D3FF04" w14:textId="77777777" w:rsidTr="004438DA">
        <w:trPr>
          <w:trHeight w:val="288"/>
        </w:trPr>
        <w:tc>
          <w:tcPr>
            <w:tcW w:w="1925" w:type="dxa"/>
            <w:vAlign w:val="center"/>
          </w:tcPr>
          <w:p w14:paraId="412D4581" w14:textId="77777777" w:rsidR="005E4A6C" w:rsidRPr="00605C30" w:rsidRDefault="005E4A6C" w:rsidP="004438DA">
            <w:pPr>
              <w:spacing w:before="0" w:after="0" w:line="240" w:lineRule="auto"/>
              <w:jc w:val="left"/>
              <w:rPr>
                <w:rFonts w:eastAsia="Times New Roman"/>
                <w:lang w:eastAsia="zh-CN"/>
              </w:rPr>
            </w:pPr>
            <w:r w:rsidRPr="00605C30">
              <w:rPr>
                <w:rFonts w:eastAsia="Times New Roman"/>
                <w:lang w:eastAsia="zh-CN"/>
              </w:rPr>
              <w:t>Subcarrier spacing</w:t>
            </w:r>
          </w:p>
        </w:tc>
        <w:tc>
          <w:tcPr>
            <w:tcW w:w="1440" w:type="dxa"/>
            <w:vAlign w:val="center"/>
          </w:tcPr>
          <w:p w14:paraId="00D045A0" w14:textId="7B5567FE"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240</w:t>
            </w:r>
            <w:r w:rsidR="001C3BBE">
              <w:rPr>
                <w:rFonts w:eastAsia="Times New Roman"/>
                <w:lang w:eastAsia="zh-CN"/>
              </w:rPr>
              <w:t xml:space="preserve"> </w:t>
            </w:r>
            <w:r w:rsidRPr="00605C30">
              <w:rPr>
                <w:rFonts w:eastAsia="Times New Roman"/>
                <w:lang w:eastAsia="zh-CN"/>
              </w:rPr>
              <w:t>kHz</w:t>
            </w:r>
          </w:p>
        </w:tc>
        <w:tc>
          <w:tcPr>
            <w:tcW w:w="1440" w:type="dxa"/>
            <w:vAlign w:val="center"/>
          </w:tcPr>
          <w:p w14:paraId="510BC3D8" w14:textId="1598FDB8"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480</w:t>
            </w:r>
            <w:r w:rsidR="001C3BBE">
              <w:rPr>
                <w:rFonts w:eastAsia="Times New Roman"/>
                <w:lang w:eastAsia="zh-CN"/>
              </w:rPr>
              <w:t xml:space="preserve"> </w:t>
            </w:r>
            <w:r w:rsidRPr="00605C30">
              <w:rPr>
                <w:rFonts w:eastAsia="Times New Roman"/>
                <w:lang w:eastAsia="zh-CN"/>
              </w:rPr>
              <w:t>kHz</w:t>
            </w:r>
          </w:p>
        </w:tc>
        <w:tc>
          <w:tcPr>
            <w:tcW w:w="1440" w:type="dxa"/>
            <w:vAlign w:val="center"/>
          </w:tcPr>
          <w:p w14:paraId="4B652291" w14:textId="19A7247A"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960</w:t>
            </w:r>
            <w:r w:rsidR="001C3BBE">
              <w:rPr>
                <w:rFonts w:eastAsia="Times New Roman"/>
                <w:lang w:eastAsia="zh-CN"/>
              </w:rPr>
              <w:t xml:space="preserve"> </w:t>
            </w:r>
            <w:r w:rsidRPr="00605C30">
              <w:rPr>
                <w:rFonts w:eastAsia="Times New Roman"/>
                <w:lang w:eastAsia="zh-CN"/>
              </w:rPr>
              <w:t>kHz</w:t>
            </w:r>
          </w:p>
        </w:tc>
        <w:tc>
          <w:tcPr>
            <w:tcW w:w="1440" w:type="dxa"/>
            <w:vAlign w:val="center"/>
          </w:tcPr>
          <w:p w14:paraId="01EBE59A" w14:textId="2B2145C5"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1.92</w:t>
            </w:r>
            <w:r w:rsidR="001C3BBE">
              <w:rPr>
                <w:rFonts w:eastAsia="Times New Roman"/>
                <w:lang w:eastAsia="zh-CN"/>
              </w:rPr>
              <w:t xml:space="preserve"> </w:t>
            </w:r>
            <w:r w:rsidRPr="00605C30">
              <w:rPr>
                <w:rFonts w:eastAsia="Times New Roman"/>
                <w:lang w:eastAsia="zh-CN"/>
              </w:rPr>
              <w:t>MHz</w:t>
            </w:r>
          </w:p>
        </w:tc>
      </w:tr>
      <w:tr w:rsidR="005E4A6C" w:rsidRPr="00605C30" w14:paraId="33C4D632" w14:textId="77777777" w:rsidTr="004438DA">
        <w:trPr>
          <w:trHeight w:val="288"/>
        </w:trPr>
        <w:tc>
          <w:tcPr>
            <w:tcW w:w="1925" w:type="dxa"/>
            <w:vAlign w:val="center"/>
          </w:tcPr>
          <w:p w14:paraId="4CEB0D87" w14:textId="77777777" w:rsidR="005E4A6C" w:rsidRPr="00605C30" w:rsidRDefault="005E4A6C" w:rsidP="004438DA">
            <w:pPr>
              <w:spacing w:before="0" w:after="0" w:line="240" w:lineRule="auto"/>
              <w:jc w:val="left"/>
              <w:rPr>
                <w:rFonts w:eastAsia="Times New Roman"/>
                <w:lang w:eastAsia="zh-CN"/>
              </w:rPr>
            </w:pPr>
            <w:r w:rsidRPr="00605C30">
              <w:rPr>
                <w:rFonts w:eastAsia="Times New Roman"/>
                <w:lang w:eastAsia="zh-CN"/>
              </w:rPr>
              <w:t>Symbol duration</w:t>
            </w:r>
          </w:p>
        </w:tc>
        <w:tc>
          <w:tcPr>
            <w:tcW w:w="1440" w:type="dxa"/>
            <w:vAlign w:val="center"/>
          </w:tcPr>
          <w:p w14:paraId="7072D30D" w14:textId="16837FF9"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4.17</w:t>
            </w:r>
            <w:r w:rsidR="001C3BBE">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00177FDB" w14:textId="294A4294"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2.08</w:t>
            </w:r>
            <w:r w:rsidR="001C3BBE">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209097DA" w14:textId="3C2F26E0"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1.04</w:t>
            </w:r>
            <w:r w:rsidR="001C3BBE">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661E4EE0" w14:textId="367E4DF0"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0.52</w:t>
            </w:r>
            <w:r w:rsidR="001C3BBE">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r>
      <w:tr w:rsidR="005E4A6C" w:rsidRPr="00605C30" w14:paraId="6B4EA1BC" w14:textId="77777777" w:rsidTr="004438DA">
        <w:trPr>
          <w:trHeight w:val="288"/>
        </w:trPr>
        <w:tc>
          <w:tcPr>
            <w:tcW w:w="1925" w:type="dxa"/>
            <w:vAlign w:val="center"/>
          </w:tcPr>
          <w:p w14:paraId="215A0871" w14:textId="77777777" w:rsidR="005E4A6C" w:rsidRPr="00605C30" w:rsidRDefault="005E4A6C" w:rsidP="004438DA">
            <w:pPr>
              <w:spacing w:before="0" w:after="0" w:line="240" w:lineRule="auto"/>
              <w:jc w:val="left"/>
              <w:rPr>
                <w:rFonts w:eastAsia="Times New Roman"/>
                <w:lang w:eastAsia="zh-CN"/>
              </w:rPr>
            </w:pPr>
            <w:r w:rsidRPr="00605C30">
              <w:rPr>
                <w:rFonts w:eastAsia="Times New Roman"/>
                <w:lang w:eastAsia="zh-CN"/>
              </w:rPr>
              <w:t>Slot duration</w:t>
            </w:r>
          </w:p>
        </w:tc>
        <w:tc>
          <w:tcPr>
            <w:tcW w:w="1440" w:type="dxa"/>
            <w:vAlign w:val="center"/>
          </w:tcPr>
          <w:p w14:paraId="1602AD72" w14:textId="4DD1414F"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62.43</w:t>
            </w:r>
            <w:r w:rsidR="001C3BBE">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7FC4B272" w14:textId="20E8ED3A"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31.22</w:t>
            </w:r>
            <w:r w:rsidR="001C3BBE">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37FEBCEB" w14:textId="77F32EF2"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15.60</w:t>
            </w:r>
            <w:r w:rsidR="001C3BBE">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42A266CD" w14:textId="2680D2F2"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7.80</w:t>
            </w:r>
            <w:r w:rsidR="001C3BBE">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r>
      <w:tr w:rsidR="005E4A6C" w:rsidRPr="00605C30" w14:paraId="3B7FAA4F" w14:textId="77777777" w:rsidTr="004438DA">
        <w:trPr>
          <w:trHeight w:val="288"/>
        </w:trPr>
        <w:tc>
          <w:tcPr>
            <w:tcW w:w="1925" w:type="dxa"/>
            <w:vAlign w:val="center"/>
          </w:tcPr>
          <w:p w14:paraId="429F8C47" w14:textId="77777777" w:rsidR="005E4A6C" w:rsidRPr="00605C30" w:rsidRDefault="005E4A6C" w:rsidP="004438DA">
            <w:pPr>
              <w:spacing w:before="0" w:after="0" w:line="240" w:lineRule="auto"/>
              <w:jc w:val="left"/>
              <w:rPr>
                <w:rFonts w:eastAsia="Times New Roman"/>
                <w:lang w:eastAsia="zh-CN"/>
              </w:rPr>
            </w:pPr>
            <w:r w:rsidRPr="00605C30">
              <w:rPr>
                <w:rFonts w:eastAsia="Times New Roman"/>
                <w:lang w:eastAsia="zh-CN"/>
              </w:rPr>
              <w:t>Normal CP length</w:t>
            </w:r>
          </w:p>
        </w:tc>
        <w:tc>
          <w:tcPr>
            <w:tcW w:w="1440" w:type="dxa"/>
            <w:vAlign w:val="center"/>
          </w:tcPr>
          <w:p w14:paraId="7DD557AE" w14:textId="6FC342F9"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292.97</w:t>
            </w:r>
            <w:r w:rsidR="001C3BBE">
              <w:rPr>
                <w:rFonts w:eastAsia="Times New Roman"/>
                <w:lang w:eastAsia="zh-CN"/>
              </w:rPr>
              <w:t xml:space="preserve"> </w:t>
            </w:r>
            <w:r w:rsidRPr="00605C30">
              <w:rPr>
                <w:rFonts w:eastAsia="Times New Roman"/>
                <w:lang w:eastAsia="zh-CN"/>
              </w:rPr>
              <w:t>ns</w:t>
            </w:r>
          </w:p>
        </w:tc>
        <w:tc>
          <w:tcPr>
            <w:tcW w:w="1440" w:type="dxa"/>
            <w:vAlign w:val="center"/>
          </w:tcPr>
          <w:p w14:paraId="7C91B0E2" w14:textId="22E18C29"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146.48</w:t>
            </w:r>
            <w:r w:rsidR="001C3BBE">
              <w:rPr>
                <w:rFonts w:eastAsia="Times New Roman"/>
                <w:lang w:eastAsia="zh-CN"/>
              </w:rPr>
              <w:t xml:space="preserve"> </w:t>
            </w:r>
            <w:r w:rsidRPr="00605C30">
              <w:rPr>
                <w:rFonts w:eastAsia="Times New Roman"/>
                <w:lang w:eastAsia="zh-CN"/>
              </w:rPr>
              <w:t>ns</w:t>
            </w:r>
          </w:p>
        </w:tc>
        <w:tc>
          <w:tcPr>
            <w:tcW w:w="1440" w:type="dxa"/>
            <w:vAlign w:val="center"/>
          </w:tcPr>
          <w:p w14:paraId="7C3BC5E9" w14:textId="475CF65F"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73.24</w:t>
            </w:r>
            <w:r w:rsidR="001C3BBE">
              <w:rPr>
                <w:rFonts w:eastAsia="Times New Roman"/>
                <w:lang w:eastAsia="zh-CN"/>
              </w:rPr>
              <w:t xml:space="preserve"> </w:t>
            </w:r>
            <w:r w:rsidRPr="00605C30">
              <w:rPr>
                <w:rFonts w:eastAsia="Times New Roman"/>
                <w:lang w:eastAsia="zh-CN"/>
              </w:rPr>
              <w:t>ns</w:t>
            </w:r>
          </w:p>
        </w:tc>
        <w:tc>
          <w:tcPr>
            <w:tcW w:w="1440" w:type="dxa"/>
            <w:vAlign w:val="center"/>
          </w:tcPr>
          <w:p w14:paraId="1C246692" w14:textId="372950D3" w:rsidR="005E4A6C" w:rsidRPr="00605C30" w:rsidRDefault="005E4A6C" w:rsidP="004438DA">
            <w:pPr>
              <w:spacing w:before="0" w:after="0" w:line="240" w:lineRule="auto"/>
              <w:jc w:val="center"/>
              <w:rPr>
                <w:rFonts w:eastAsia="Times New Roman"/>
                <w:lang w:eastAsia="zh-CN"/>
              </w:rPr>
            </w:pPr>
            <w:r w:rsidRPr="00605C30">
              <w:rPr>
                <w:rFonts w:eastAsia="Times New Roman"/>
                <w:lang w:eastAsia="zh-CN"/>
              </w:rPr>
              <w:t>36.62</w:t>
            </w:r>
            <w:r w:rsidR="001C3BBE">
              <w:rPr>
                <w:rFonts w:eastAsia="Times New Roman"/>
                <w:lang w:eastAsia="zh-CN"/>
              </w:rPr>
              <w:t xml:space="preserve"> </w:t>
            </w:r>
            <w:r w:rsidRPr="00605C30">
              <w:rPr>
                <w:rFonts w:eastAsia="Times New Roman"/>
                <w:lang w:eastAsia="zh-CN"/>
              </w:rPr>
              <w:t>ns</w:t>
            </w:r>
          </w:p>
        </w:tc>
      </w:tr>
      <w:tr w:rsidR="005E4A6C" w:rsidRPr="00605C30" w14:paraId="4E573733" w14:textId="77777777" w:rsidTr="004438DA">
        <w:trPr>
          <w:trHeight w:val="288"/>
        </w:trPr>
        <w:tc>
          <w:tcPr>
            <w:tcW w:w="1925" w:type="dxa"/>
            <w:vAlign w:val="center"/>
          </w:tcPr>
          <w:p w14:paraId="2BB5662D" w14:textId="77777777" w:rsidR="005E4A6C" w:rsidRPr="00605C30" w:rsidRDefault="005E4A6C" w:rsidP="004438DA">
            <w:pPr>
              <w:spacing w:before="0" w:after="0" w:line="240" w:lineRule="auto"/>
              <w:rPr>
                <w:rFonts w:eastAsia="Times New Roman"/>
                <w:lang w:eastAsia="zh-CN"/>
              </w:rPr>
            </w:pPr>
            <w:r>
              <w:rPr>
                <w:rFonts w:eastAsia="Times New Roman"/>
                <w:lang w:eastAsia="zh-CN"/>
              </w:rPr>
              <w:t>Extended CP length</w:t>
            </w:r>
          </w:p>
        </w:tc>
        <w:tc>
          <w:tcPr>
            <w:tcW w:w="1440" w:type="dxa"/>
            <w:vAlign w:val="center"/>
          </w:tcPr>
          <w:p w14:paraId="691D9F24" w14:textId="30ED2B0A" w:rsidR="005E4A6C" w:rsidRPr="00605C30" w:rsidRDefault="005E4A6C" w:rsidP="004438DA">
            <w:pPr>
              <w:spacing w:before="0" w:after="0" w:line="240" w:lineRule="auto"/>
              <w:jc w:val="center"/>
              <w:rPr>
                <w:rFonts w:eastAsia="Times New Roman"/>
                <w:lang w:eastAsia="zh-CN"/>
              </w:rPr>
            </w:pPr>
            <w:r>
              <w:rPr>
                <w:rFonts w:eastAsia="Times New Roman"/>
                <w:lang w:eastAsia="zh-CN"/>
              </w:rPr>
              <w:t>1041.67</w:t>
            </w:r>
            <w:r w:rsidR="001C3BBE">
              <w:rPr>
                <w:rFonts w:eastAsia="Times New Roman"/>
                <w:lang w:eastAsia="zh-CN"/>
              </w:rPr>
              <w:t xml:space="preserve"> </w:t>
            </w:r>
            <w:r>
              <w:rPr>
                <w:rFonts w:eastAsia="Times New Roman"/>
                <w:lang w:eastAsia="zh-CN"/>
              </w:rPr>
              <w:t>ns</w:t>
            </w:r>
          </w:p>
        </w:tc>
        <w:tc>
          <w:tcPr>
            <w:tcW w:w="1440" w:type="dxa"/>
            <w:vAlign w:val="center"/>
          </w:tcPr>
          <w:p w14:paraId="306F1D44" w14:textId="41CABC50" w:rsidR="005E4A6C" w:rsidRPr="00605C30" w:rsidRDefault="005E4A6C" w:rsidP="004438DA">
            <w:pPr>
              <w:spacing w:before="0" w:after="0" w:line="240" w:lineRule="auto"/>
              <w:jc w:val="center"/>
              <w:rPr>
                <w:rFonts w:eastAsia="Times New Roman"/>
                <w:lang w:eastAsia="zh-CN"/>
              </w:rPr>
            </w:pPr>
            <w:r>
              <w:rPr>
                <w:rFonts w:eastAsia="Times New Roman"/>
                <w:lang w:eastAsia="zh-CN"/>
              </w:rPr>
              <w:t>520.83</w:t>
            </w:r>
            <w:r w:rsidR="001C3BBE">
              <w:rPr>
                <w:rFonts w:eastAsia="Times New Roman"/>
                <w:lang w:eastAsia="zh-CN"/>
              </w:rPr>
              <w:t xml:space="preserve"> </w:t>
            </w:r>
            <w:r>
              <w:rPr>
                <w:rFonts w:eastAsia="Times New Roman"/>
                <w:lang w:eastAsia="zh-CN"/>
              </w:rPr>
              <w:t>ns</w:t>
            </w:r>
          </w:p>
        </w:tc>
        <w:tc>
          <w:tcPr>
            <w:tcW w:w="1440" w:type="dxa"/>
            <w:vAlign w:val="center"/>
          </w:tcPr>
          <w:p w14:paraId="31C296D7" w14:textId="5464691C" w:rsidR="005E4A6C" w:rsidRPr="00605C30" w:rsidRDefault="005E4A6C" w:rsidP="004438DA">
            <w:pPr>
              <w:spacing w:before="0" w:after="0" w:line="240" w:lineRule="auto"/>
              <w:jc w:val="center"/>
              <w:rPr>
                <w:rFonts w:eastAsia="Times New Roman"/>
                <w:lang w:eastAsia="zh-CN"/>
              </w:rPr>
            </w:pPr>
            <w:r>
              <w:rPr>
                <w:rFonts w:eastAsia="Times New Roman"/>
                <w:lang w:eastAsia="zh-CN"/>
              </w:rPr>
              <w:t>260.42</w:t>
            </w:r>
            <w:r w:rsidR="001C3BBE">
              <w:rPr>
                <w:rFonts w:eastAsia="Times New Roman"/>
                <w:lang w:eastAsia="zh-CN"/>
              </w:rPr>
              <w:t xml:space="preserve"> </w:t>
            </w:r>
            <w:r>
              <w:rPr>
                <w:rFonts w:eastAsia="Times New Roman"/>
                <w:lang w:eastAsia="zh-CN"/>
              </w:rPr>
              <w:t>ns</w:t>
            </w:r>
          </w:p>
        </w:tc>
        <w:tc>
          <w:tcPr>
            <w:tcW w:w="1440" w:type="dxa"/>
            <w:vAlign w:val="center"/>
          </w:tcPr>
          <w:p w14:paraId="1121877B" w14:textId="470E905C" w:rsidR="005E4A6C" w:rsidRPr="00605C30" w:rsidRDefault="005E4A6C" w:rsidP="004438DA">
            <w:pPr>
              <w:spacing w:before="0" w:after="0" w:line="240" w:lineRule="auto"/>
              <w:jc w:val="center"/>
              <w:rPr>
                <w:rFonts w:eastAsia="Times New Roman"/>
                <w:lang w:eastAsia="zh-CN"/>
              </w:rPr>
            </w:pPr>
            <w:r>
              <w:rPr>
                <w:rFonts w:eastAsia="Times New Roman"/>
                <w:lang w:eastAsia="zh-CN"/>
              </w:rPr>
              <w:t>130.21</w:t>
            </w:r>
            <w:r w:rsidR="001C3BBE">
              <w:rPr>
                <w:rFonts w:eastAsia="Times New Roman"/>
                <w:lang w:eastAsia="zh-CN"/>
              </w:rPr>
              <w:t xml:space="preserve"> </w:t>
            </w:r>
            <w:r>
              <w:rPr>
                <w:rFonts w:eastAsia="Times New Roman"/>
                <w:lang w:eastAsia="zh-CN"/>
              </w:rPr>
              <w:t>ns</w:t>
            </w:r>
          </w:p>
        </w:tc>
      </w:tr>
    </w:tbl>
    <w:p w14:paraId="02ED7E3E" w14:textId="44D61B45" w:rsidR="005E4A6C" w:rsidRPr="00621A15" w:rsidRDefault="00621A15" w:rsidP="00621A15">
      <w:pPr>
        <w:spacing w:after="120"/>
        <w:jc w:val="center"/>
      </w:pPr>
      <w:bookmarkStart w:id="3" w:name="_Ref47257008"/>
      <w:r w:rsidRPr="00621A15">
        <w:t xml:space="preserve">Table </w:t>
      </w:r>
      <w:r w:rsidRPr="00621A15">
        <w:fldChar w:fldCharType="begin"/>
      </w:r>
      <w:r w:rsidRPr="00621A15">
        <w:instrText xml:space="preserve"> SEQ Table \* ARABIC </w:instrText>
      </w:r>
      <w:r w:rsidRPr="00621A15">
        <w:fldChar w:fldCharType="separate"/>
      </w:r>
      <w:r w:rsidRPr="00621A15">
        <w:rPr>
          <w:noProof/>
        </w:rPr>
        <w:t>1</w:t>
      </w:r>
      <w:r w:rsidRPr="00621A15">
        <w:rPr>
          <w:noProof/>
        </w:rPr>
        <w:fldChar w:fldCharType="end"/>
      </w:r>
      <w:bookmarkEnd w:id="3"/>
      <w:r w:rsidRPr="00621A15">
        <w:t>. Candidate numerologies and symbol/slot duration</w:t>
      </w:r>
    </w:p>
    <w:p w14:paraId="64E11076" w14:textId="77777777" w:rsidR="00621A15" w:rsidRPr="000A5116" w:rsidRDefault="00621A15" w:rsidP="00621A15">
      <w:pPr>
        <w:spacing w:after="120"/>
        <w:jc w:val="center"/>
        <w:rPr>
          <w:lang w:eastAsia="zh-CN"/>
        </w:rPr>
      </w:pPr>
    </w:p>
    <w:p w14:paraId="6C10B469" w14:textId="3819627F" w:rsidR="005E4A6C" w:rsidRDefault="005E4A6C" w:rsidP="005E4A6C">
      <w:pPr>
        <w:spacing w:after="120"/>
        <w:jc w:val="both"/>
        <w:rPr>
          <w:rFonts w:eastAsia="Times New Roman"/>
        </w:rPr>
      </w:pPr>
      <w:r w:rsidRPr="00E70D06">
        <w:rPr>
          <w:rFonts w:eastAsia="Times New Roman"/>
          <w:lang w:eastAsia="zh-CN"/>
        </w:rPr>
        <w:t>As specified in NR, maximum channel bandwidth is 100</w:t>
      </w:r>
      <w:r w:rsidR="001C3BBE">
        <w:rPr>
          <w:rFonts w:eastAsia="Times New Roman"/>
          <w:lang w:eastAsia="zh-CN"/>
        </w:rPr>
        <w:t xml:space="preserve"> </w:t>
      </w:r>
      <w:r w:rsidRPr="00E70D06">
        <w:rPr>
          <w:rFonts w:eastAsia="Times New Roman"/>
          <w:lang w:eastAsia="zh-CN"/>
        </w:rPr>
        <w:t>MHz and 400</w:t>
      </w:r>
      <w:r w:rsidR="001C3BBE">
        <w:rPr>
          <w:rFonts w:eastAsia="Times New Roman"/>
          <w:lang w:eastAsia="zh-CN"/>
        </w:rPr>
        <w:t xml:space="preserve"> </w:t>
      </w:r>
      <w:r w:rsidRPr="00E70D06">
        <w:rPr>
          <w:rFonts w:eastAsia="Times New Roman"/>
          <w:lang w:eastAsia="zh-CN"/>
        </w:rPr>
        <w:t>MHz for FR1 and FR2, respectively. For carrier frequency between 52.6</w:t>
      </w:r>
      <w:r>
        <w:rPr>
          <w:rFonts w:eastAsia="Times New Roman"/>
          <w:lang w:eastAsia="zh-CN"/>
        </w:rPr>
        <w:t xml:space="preserve"> </w:t>
      </w:r>
      <w:r w:rsidRPr="00E70D06">
        <w:rPr>
          <w:rFonts w:eastAsia="Times New Roman"/>
          <w:lang w:eastAsia="zh-CN"/>
        </w:rPr>
        <w:t>GHz and 71</w:t>
      </w:r>
      <w:r>
        <w:rPr>
          <w:rFonts w:eastAsia="Times New Roman"/>
          <w:lang w:eastAsia="zh-CN"/>
        </w:rPr>
        <w:t xml:space="preserve"> </w:t>
      </w:r>
      <w:r w:rsidRPr="00E70D06">
        <w:rPr>
          <w:rFonts w:eastAsia="Times New Roman"/>
          <w:lang w:eastAsia="zh-CN"/>
        </w:rPr>
        <w:t xml:space="preserve">GHz, </w:t>
      </w:r>
      <w:r>
        <w:rPr>
          <w:rFonts w:eastAsia="Times New Roman"/>
          <w:lang w:eastAsia="zh-CN"/>
        </w:rPr>
        <w:t xml:space="preserve">in order to achieve data rate that cannot be provided by existing bands and deployments, we should consider support of much wider bandwidths such as 8 GHz or larger. The NR technology operating in 52.6 GHz and 71 GHz does somewhat compete for similar use cases with IEEE 802.11ad and 802.11ay, therefore it is important for 3GPP to also provide comparable peak data rates, while providing support for other (smaller bandwidth sizes) to efficiently adapt to use cases listed in </w:t>
      </w:r>
      <w:r>
        <w:rPr>
          <w:rFonts w:eastAsia="Times New Roman"/>
          <w:lang w:eastAsia="zh-CN"/>
        </w:rPr>
        <w:fldChar w:fldCharType="begin"/>
      </w:r>
      <w:r>
        <w:rPr>
          <w:rFonts w:eastAsia="Times New Roman"/>
          <w:lang w:eastAsia="zh-CN"/>
        </w:rPr>
        <w:instrText xml:space="preserve"> REF _Ref53781957 \r \h </w:instrText>
      </w:r>
      <w:r>
        <w:rPr>
          <w:rFonts w:eastAsia="Times New Roman"/>
          <w:lang w:eastAsia="zh-CN"/>
        </w:rPr>
      </w:r>
      <w:r>
        <w:rPr>
          <w:rFonts w:eastAsia="Times New Roman"/>
          <w:lang w:eastAsia="zh-CN"/>
        </w:rPr>
        <w:fldChar w:fldCharType="separate"/>
      </w:r>
      <w:r>
        <w:rPr>
          <w:rFonts w:eastAsia="Times New Roman"/>
          <w:lang w:eastAsia="zh-CN"/>
        </w:rPr>
        <w:t>[3]</w:t>
      </w:r>
      <w:r>
        <w:rPr>
          <w:rFonts w:eastAsia="Times New Roman"/>
          <w:lang w:eastAsia="zh-CN"/>
        </w:rPr>
        <w:fldChar w:fldCharType="end"/>
      </w:r>
      <w:r>
        <w:rPr>
          <w:rFonts w:eastAsia="Times New Roman"/>
          <w:lang w:eastAsia="zh-CN"/>
        </w:rPr>
        <w:t xml:space="preserve">. </w:t>
      </w:r>
      <w:r>
        <w:rPr>
          <w:rFonts w:eastAsia="Times New Roman"/>
        </w:rPr>
        <w:t>In this case</w:t>
      </w:r>
      <w:r w:rsidRPr="00E70D06">
        <w:rPr>
          <w:rFonts w:eastAsia="Times New Roman"/>
        </w:rPr>
        <w:t>, smaller channel bandwidth defined for NR in 52.6</w:t>
      </w:r>
      <w:r w:rsidR="001C3BBE">
        <w:rPr>
          <w:rFonts w:eastAsia="Times New Roman"/>
        </w:rPr>
        <w:t xml:space="preserve"> – </w:t>
      </w:r>
      <w:r w:rsidRPr="00E70D06">
        <w:rPr>
          <w:rFonts w:eastAsia="Times New Roman"/>
        </w:rPr>
        <w:t xml:space="preserve">71 GHz frequencies would make NR less competitive against the existing systems. </w:t>
      </w:r>
      <w:r>
        <w:rPr>
          <w:rFonts w:eastAsia="Times New Roman"/>
          <w:lang w:eastAsia="zh-CN"/>
        </w:rPr>
        <w:t xml:space="preserve">At the very least, an efficient mechanism to support system bandwidths around 2 GHz is going to be crucial to have easier inter-operability with 802.11ad and 802.11ay system, and to support peak data rate that are difficult to achieve in FR1 and FR2. </w:t>
      </w:r>
      <w:r>
        <w:rPr>
          <w:rFonts w:eastAsia="Times New Roman"/>
        </w:rPr>
        <w:t xml:space="preserve">In this regard, </w:t>
      </w:r>
      <w:r w:rsidRPr="00E70D06">
        <w:rPr>
          <w:rFonts w:eastAsia="Times New Roman"/>
        </w:rPr>
        <w:lastRenderedPageBreak/>
        <w:t>lack of supporting larger bandwidths would reduce a full potential of 52.6</w:t>
      </w:r>
      <w:r w:rsidR="001C3BBE">
        <w:rPr>
          <w:rFonts w:eastAsia="Times New Roman"/>
        </w:rPr>
        <w:t xml:space="preserve"> – </w:t>
      </w:r>
      <w:r w:rsidRPr="00E70D06">
        <w:rPr>
          <w:rFonts w:eastAsia="Times New Roman"/>
        </w:rPr>
        <w:t xml:space="preserve">71 GHz frequency range </w:t>
      </w:r>
      <w:r w:rsidRPr="00E70D06">
        <w:rPr>
          <w:rFonts w:eastAsia="Times New Roman"/>
          <w:lang w:eastAsia="zh-CN"/>
        </w:rPr>
        <w:t>for truly NR-based massive broadband and make it less attractive for emerging applications like AR/VR</w:t>
      </w:r>
      <w:r w:rsidRPr="00E70D06">
        <w:rPr>
          <w:rFonts w:eastAsia="Times New Roman"/>
        </w:rPr>
        <w:t>.</w:t>
      </w:r>
    </w:p>
    <w:p w14:paraId="40E474C8" w14:textId="45EEE404" w:rsidR="001C3BBE" w:rsidRDefault="001C3BBE" w:rsidP="005E4A6C">
      <w:pPr>
        <w:spacing w:after="120"/>
        <w:jc w:val="both"/>
        <w:rPr>
          <w:rFonts w:eastAsia="Times New Roman"/>
        </w:rPr>
      </w:pPr>
    </w:p>
    <w:p w14:paraId="78AE585F" w14:textId="461DE17C" w:rsidR="001C3BBE" w:rsidRPr="001C3981" w:rsidRDefault="001C3BBE" w:rsidP="005E4A6C">
      <w:pPr>
        <w:spacing w:after="120"/>
        <w:jc w:val="both"/>
        <w:rPr>
          <w:rFonts w:eastAsia="Times New Roman"/>
          <w:b/>
          <w:bCs/>
          <w:i/>
          <w:iCs/>
        </w:rPr>
      </w:pPr>
      <w:r w:rsidRPr="001C3981">
        <w:rPr>
          <w:rFonts w:eastAsia="Times New Roman"/>
          <w:b/>
          <w:bCs/>
          <w:i/>
          <w:iCs/>
        </w:rPr>
        <w:t>Observation</w:t>
      </w:r>
      <w:r w:rsidR="001C3981">
        <w:rPr>
          <w:rFonts w:eastAsia="Times New Roman"/>
          <w:b/>
          <w:bCs/>
          <w:i/>
          <w:iCs/>
        </w:rPr>
        <w:t xml:space="preserve"> #1</w:t>
      </w:r>
      <w:r w:rsidRPr="001C3981">
        <w:rPr>
          <w:rFonts w:eastAsia="Times New Roman"/>
          <w:b/>
          <w:bCs/>
          <w:i/>
          <w:iCs/>
        </w:rPr>
        <w:t>: Smaller channel bandwidth defined for NR in 52.6 – 71 GHz frequency range would make NR less competitive against for the existing systems.</w:t>
      </w:r>
    </w:p>
    <w:p w14:paraId="26CB0F1B" w14:textId="77777777" w:rsidR="001C3981" w:rsidRDefault="001C3981" w:rsidP="005E4A6C">
      <w:pPr>
        <w:spacing w:after="120"/>
        <w:jc w:val="both"/>
        <w:rPr>
          <w:rFonts w:eastAsia="Times New Roman"/>
          <w:lang w:eastAsia="zh-CN"/>
        </w:rPr>
      </w:pPr>
    </w:p>
    <w:p w14:paraId="57E62093" w14:textId="77777777" w:rsidR="005E4A6C" w:rsidRDefault="005E4A6C" w:rsidP="005E4A6C">
      <w:pPr>
        <w:spacing w:after="120"/>
        <w:jc w:val="both"/>
        <w:rPr>
          <w:rFonts w:eastAsia="Times New Roman"/>
          <w:lang w:eastAsia="zh-CN"/>
        </w:rPr>
      </w:pPr>
      <w:r>
        <w:rPr>
          <w:rFonts w:eastAsia="Times New Roman"/>
          <w:lang w:eastAsia="zh-CN"/>
        </w:rPr>
        <w:t>In order to support bandwidths near 2 GHz, there may be few options. Supporting the 2 GHz via using multiple aggregated component carriers or by using a single component carrier. The latter does require higher subcarrier spacing to be utilized as RAN1 has agree to limit the FFT and PRB sizes. Regardless of the two options, the amount of information that is conveyed in normalized time unit is roughly the same (minus guard bands for multiple component carriers). Using smaller subcarrier spacing increases the number of tones to be process in the 2 GHz, but expands the time duration in which these information is sent over, and using larger subcarrier spacing reduces the number of tones to processed and also reduces the time duration in which information is sent over. Therefore, over the normalized unit time, the total amount of information bits that needs to be process is similar.</w:t>
      </w:r>
    </w:p>
    <w:p w14:paraId="327C7EB2" w14:textId="0531DF07" w:rsidR="005E4A6C" w:rsidRDefault="005E4A6C" w:rsidP="005E4A6C">
      <w:pPr>
        <w:spacing w:after="120"/>
        <w:jc w:val="both"/>
        <w:rPr>
          <w:rFonts w:eastAsia="Times New Roman"/>
          <w:lang w:eastAsia="zh-CN"/>
        </w:rPr>
      </w:pPr>
      <w:r>
        <w:rPr>
          <w:rFonts w:eastAsia="Times New Roman"/>
          <w:lang w:eastAsia="zh-CN"/>
        </w:rPr>
        <w:t>From the UE perspective, u</w:t>
      </w:r>
      <w:r w:rsidR="001C3981">
        <w:rPr>
          <w:rFonts w:eastAsia="Times New Roman"/>
          <w:lang w:eastAsia="zh-CN"/>
        </w:rPr>
        <w:t>s</w:t>
      </w:r>
      <w:r>
        <w:rPr>
          <w:rFonts w:eastAsia="Times New Roman"/>
          <w:lang w:eastAsia="zh-CN"/>
        </w:rPr>
        <w:t xml:space="preserve">ing </w:t>
      </w:r>
      <w:r w:rsidR="001C3981">
        <w:rPr>
          <w:rFonts w:eastAsia="Times New Roman"/>
          <w:lang w:eastAsia="zh-CN"/>
        </w:rPr>
        <w:t xml:space="preserve">a </w:t>
      </w:r>
      <w:r>
        <w:rPr>
          <w:rFonts w:eastAsia="Times New Roman"/>
          <w:lang w:eastAsia="zh-CN"/>
        </w:rPr>
        <w:t>relatively lower subcarrier spacing means more modulated information and bits must be block processed (compared to using larger subcarrier spacing) together, as the UE will be expected to process data in unit of slots (with the exception of sub-slot data scheduling, which are not meant to be used for peak data rates). While it is possible for the UE to pipeline the processing of data for each codeblock and therefore break down the slot into smaller segments for processing, UE will need to handle multiple codeblocks from multiple component carriers as well, and efficiently scheduling and managing decoders as multiple codeblocks are being concurrently received is not a trivial task. If tens of components carrier is expected to be used to support wideband operations, the added complexity for the UE to handle of larger amount of information (even though longer time is given) is something that can be brushed aside.</w:t>
      </w:r>
    </w:p>
    <w:p w14:paraId="6D153D97" w14:textId="77777777" w:rsidR="005E4A6C" w:rsidRDefault="005E4A6C" w:rsidP="005E4A6C">
      <w:pPr>
        <w:spacing w:after="120"/>
        <w:jc w:val="both"/>
        <w:rPr>
          <w:rFonts w:eastAsia="Times New Roman"/>
          <w:lang w:eastAsia="zh-CN"/>
        </w:rPr>
      </w:pPr>
      <w:r>
        <w:rPr>
          <w:rFonts w:eastAsia="Times New Roman"/>
          <w:lang w:eastAsia="zh-CN"/>
        </w:rPr>
        <w:t>Use of larger subcarrier spacing in the other hand, shortens the duration of the slot. This allows the data to be naturally break apart into smaller processing units, potentially resulting in lower processing latency, and overall lower baseband processing complexity especially when handling wider bandwidths.</w:t>
      </w:r>
    </w:p>
    <w:p w14:paraId="62E8BC45" w14:textId="42FDC9F8" w:rsidR="005E4A6C" w:rsidRDefault="005E4A6C" w:rsidP="005E4A6C">
      <w:pPr>
        <w:spacing w:after="120"/>
        <w:jc w:val="both"/>
        <w:rPr>
          <w:rFonts w:eastAsia="Times New Roman"/>
          <w:lang w:eastAsia="zh-CN"/>
        </w:rPr>
      </w:pPr>
      <w:r w:rsidRPr="00E70D06">
        <w:rPr>
          <w:rFonts w:eastAsia="Times New Roman"/>
          <w:lang w:eastAsia="zh-CN"/>
        </w:rPr>
        <w:fldChar w:fldCharType="begin"/>
      </w:r>
      <w:r w:rsidRPr="00E70D06">
        <w:rPr>
          <w:rFonts w:eastAsia="Times New Roman"/>
          <w:lang w:eastAsia="zh-CN"/>
        </w:rPr>
        <w:instrText xml:space="preserve"> REF _Ref34997889 \h  \* MERGEFORMAT </w:instrText>
      </w:r>
      <w:r w:rsidRPr="00E70D06">
        <w:rPr>
          <w:rFonts w:eastAsia="Times New Roman"/>
          <w:lang w:eastAsia="zh-CN"/>
        </w:rPr>
      </w:r>
      <w:r w:rsidRPr="00E70D06">
        <w:rPr>
          <w:rFonts w:eastAsia="Times New Roman"/>
          <w:lang w:eastAsia="zh-CN"/>
        </w:rPr>
        <w:fldChar w:fldCharType="separate"/>
      </w:r>
      <w:r w:rsidRPr="006C2F3E">
        <w:rPr>
          <w:rFonts w:eastAsia="Times New Roman"/>
        </w:rPr>
        <w:t xml:space="preserve">Table </w:t>
      </w:r>
      <w:r w:rsidRPr="006C2F3E">
        <w:rPr>
          <w:rFonts w:eastAsia="Times New Roman"/>
          <w:noProof/>
        </w:rPr>
        <w:t>2</w:t>
      </w:r>
      <w:r w:rsidRPr="00E70D06">
        <w:rPr>
          <w:rFonts w:eastAsia="Times New Roman"/>
          <w:lang w:eastAsia="zh-CN"/>
        </w:rPr>
        <w:fldChar w:fldCharType="end"/>
      </w:r>
      <w:r w:rsidRPr="00E70D06">
        <w:rPr>
          <w:rFonts w:eastAsia="Times New Roman"/>
          <w:lang w:eastAsia="zh-CN"/>
        </w:rPr>
        <w:t xml:space="preserve"> summarizes the possible channel bandwidth and corresponding FFT size with various candidate subcarrier spacings. As in Rel-15, RAN1 needs to consult RAN4 for candidate values of channel bandwidth for carrier frequency between 52.6</w:t>
      </w:r>
      <w:r w:rsidR="001C3981">
        <w:rPr>
          <w:rFonts w:eastAsia="Times New Roman"/>
          <w:lang w:eastAsia="zh-CN"/>
        </w:rPr>
        <w:t xml:space="preserve"> </w:t>
      </w:r>
      <w:r w:rsidRPr="00E70D06">
        <w:rPr>
          <w:rFonts w:eastAsia="Times New Roman"/>
          <w:lang w:eastAsia="zh-CN"/>
        </w:rPr>
        <w:t>GHz and 71</w:t>
      </w:r>
      <w:r w:rsidR="001C3981">
        <w:rPr>
          <w:rFonts w:eastAsia="Times New Roman"/>
          <w:lang w:eastAsia="zh-CN"/>
        </w:rPr>
        <w:t xml:space="preserve"> </w:t>
      </w:r>
      <w:r w:rsidRPr="00E70D06">
        <w:rPr>
          <w:rFonts w:eastAsia="Times New Roman"/>
          <w:lang w:eastAsia="zh-CN"/>
        </w:rPr>
        <w:t xml:space="preserve">GHz. </w:t>
      </w:r>
    </w:p>
    <w:p w14:paraId="0B10E13D" w14:textId="77777777" w:rsidR="00621A15" w:rsidRPr="00E70D06" w:rsidRDefault="00621A15" w:rsidP="005E4A6C">
      <w:pPr>
        <w:spacing w:after="120"/>
        <w:jc w:val="both"/>
        <w:rPr>
          <w:rFonts w:eastAsia="Times New Roman"/>
          <w:lang w:eastAsia="zh-CN"/>
        </w:rPr>
      </w:pPr>
    </w:p>
    <w:p w14:paraId="2573DF4E" w14:textId="19F119EC" w:rsidR="005E4A6C" w:rsidRDefault="00621A15" w:rsidP="005E4A6C">
      <w:pPr>
        <w:keepNext/>
        <w:spacing w:before="240" w:after="120"/>
        <w:jc w:val="center"/>
        <w:rPr>
          <w:b/>
          <w:bCs/>
        </w:rPr>
      </w:pPr>
      <w:r>
        <w:rPr>
          <w:noProof/>
        </w:rPr>
        <w:drawing>
          <wp:inline distT="0" distB="0" distL="0" distR="0" wp14:anchorId="517C43E2" wp14:editId="0F062BE5">
            <wp:extent cx="4482493" cy="2995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3956" cy="3003274"/>
                    </a:xfrm>
                    <a:prstGeom prst="rect">
                      <a:avLst/>
                    </a:prstGeom>
                  </pic:spPr>
                </pic:pic>
              </a:graphicData>
            </a:graphic>
          </wp:inline>
        </w:drawing>
      </w:r>
    </w:p>
    <w:p w14:paraId="7A2BC1B9" w14:textId="77777777" w:rsidR="005E4A6C" w:rsidRPr="00621A15" w:rsidRDefault="005E4A6C" w:rsidP="00621A15">
      <w:pPr>
        <w:spacing w:after="120"/>
        <w:jc w:val="center"/>
      </w:pPr>
      <w:bookmarkStart w:id="4" w:name="_Ref34997889"/>
      <w:r w:rsidRPr="00621A15">
        <w:t xml:space="preserve">Table </w:t>
      </w:r>
      <w:r w:rsidRPr="00621A15">
        <w:fldChar w:fldCharType="begin"/>
      </w:r>
      <w:r w:rsidRPr="00621A15">
        <w:instrText xml:space="preserve"> SEQ Table \* ARABIC </w:instrText>
      </w:r>
      <w:r w:rsidRPr="00621A15">
        <w:fldChar w:fldCharType="separate"/>
      </w:r>
      <w:r w:rsidRPr="00621A15">
        <w:t>2</w:t>
      </w:r>
      <w:r w:rsidRPr="00621A15">
        <w:fldChar w:fldCharType="end"/>
      </w:r>
      <w:bookmarkEnd w:id="4"/>
      <w:r w:rsidRPr="00621A15">
        <w:t>. Possible channel bandwidth and corresponding FFT size</w:t>
      </w:r>
    </w:p>
    <w:p w14:paraId="46A0E49B" w14:textId="77777777" w:rsidR="005E4A6C" w:rsidRDefault="005E4A6C" w:rsidP="005E4A6C">
      <w:pPr>
        <w:spacing w:after="120"/>
        <w:jc w:val="both"/>
        <w:rPr>
          <w:rFonts w:eastAsia="Times New Roman"/>
          <w:lang w:eastAsia="zh-CN"/>
        </w:rPr>
      </w:pPr>
    </w:p>
    <w:p w14:paraId="256EF75C" w14:textId="77777777" w:rsidR="005E4A6C" w:rsidRPr="00E70D06" w:rsidRDefault="005E4A6C" w:rsidP="005E4A6C">
      <w:pPr>
        <w:spacing w:after="120"/>
        <w:jc w:val="both"/>
        <w:rPr>
          <w:rFonts w:eastAsia="Times New Roman"/>
          <w:lang w:eastAsia="zh-CN"/>
        </w:rPr>
      </w:pPr>
      <w:r>
        <w:rPr>
          <w:rFonts w:eastAsia="Times New Roman"/>
          <w:lang w:eastAsia="zh-CN"/>
        </w:rPr>
        <w:t xml:space="preserve">Therefore, we believe it is critical to discuss how NR plans to support wider bandwidths 2 GHz and beyond when considering supported subcarrier spacing. For example, if we were to support 120 kHz for data transmission, and wanted </w:t>
      </w:r>
      <w:r>
        <w:rPr>
          <w:rFonts w:eastAsia="Times New Roman"/>
          <w:lang w:eastAsia="zh-CN"/>
        </w:rPr>
        <w:lastRenderedPageBreak/>
        <w:t>to support aggregated bandwidth of 8 GHz, the system would need 20 component carriers to be aggregated. Based on discussion above, this would not be an efficient method to operate the system.</w:t>
      </w:r>
    </w:p>
    <w:p w14:paraId="7F7CD883" w14:textId="1821CBDD" w:rsidR="005E4A6C" w:rsidRPr="00621A15" w:rsidRDefault="005E4A6C" w:rsidP="00621A15">
      <w:pPr>
        <w:spacing w:before="240" w:after="120"/>
        <w:jc w:val="both"/>
        <w:rPr>
          <w:rFonts w:eastAsia="Times New Roman"/>
          <w:b/>
          <w:bCs/>
          <w:i/>
          <w:iCs/>
          <w:lang w:eastAsia="zh-CN"/>
        </w:rPr>
      </w:pPr>
      <w:r w:rsidRPr="00621A15">
        <w:rPr>
          <w:rFonts w:eastAsia="Times New Roman"/>
          <w:b/>
          <w:bCs/>
          <w:i/>
          <w:iCs/>
          <w:lang w:eastAsia="zh-CN"/>
        </w:rPr>
        <w:t xml:space="preserve">Proposal </w:t>
      </w:r>
      <w:r w:rsidR="00621A15" w:rsidRPr="00621A15">
        <w:rPr>
          <w:rFonts w:eastAsia="Times New Roman"/>
          <w:b/>
          <w:bCs/>
          <w:i/>
          <w:iCs/>
          <w:lang w:eastAsia="zh-CN"/>
        </w:rPr>
        <w:t xml:space="preserve">#1: </w:t>
      </w:r>
      <w:r w:rsidRPr="00621A15">
        <w:rPr>
          <w:rFonts w:eastAsia="Times New Roman"/>
          <w:b/>
          <w:bCs/>
          <w:i/>
          <w:iCs/>
          <w:lang w:eastAsia="zh-CN"/>
        </w:rPr>
        <w:t>Consider efficient ways to support aggregated wide bandwidth, such as up to 8 GHz</w:t>
      </w:r>
      <w:r w:rsidR="00621A15">
        <w:rPr>
          <w:rFonts w:eastAsia="Times New Roman"/>
          <w:b/>
          <w:bCs/>
          <w:i/>
          <w:iCs/>
          <w:lang w:eastAsia="zh-CN"/>
        </w:rPr>
        <w:t>.</w:t>
      </w:r>
    </w:p>
    <w:p w14:paraId="738B0D80" w14:textId="6AE4F2E1" w:rsidR="005E4A6C" w:rsidRPr="00621A15" w:rsidRDefault="00621A15" w:rsidP="00621A15">
      <w:pPr>
        <w:overflowPunct w:val="0"/>
        <w:autoSpaceDE w:val="0"/>
        <w:autoSpaceDN w:val="0"/>
        <w:adjustRightInd w:val="0"/>
        <w:spacing w:after="0"/>
        <w:jc w:val="both"/>
        <w:textAlignment w:val="baseline"/>
        <w:rPr>
          <w:rFonts w:eastAsia="Times New Roman"/>
          <w:b/>
          <w:bCs/>
          <w:i/>
          <w:iCs/>
          <w:lang w:eastAsia="zh-CN"/>
        </w:rPr>
      </w:pPr>
      <w:r w:rsidRPr="00621A15">
        <w:rPr>
          <w:rFonts w:eastAsia="Times New Roman"/>
          <w:b/>
          <w:bCs/>
          <w:i/>
          <w:iCs/>
          <w:lang w:eastAsia="zh-CN"/>
        </w:rPr>
        <w:t xml:space="preserve">Proposal #2: </w:t>
      </w:r>
      <w:r w:rsidR="005E4A6C" w:rsidRPr="00621A15">
        <w:rPr>
          <w:rFonts w:eastAsia="Times New Roman"/>
          <w:b/>
          <w:bCs/>
          <w:i/>
          <w:iCs/>
          <w:lang w:eastAsia="zh-CN"/>
        </w:rPr>
        <w:t>Do not support 120 kHz subcarrier spacing for NR 52.6 GHz to 71 GHz.</w:t>
      </w:r>
    </w:p>
    <w:p w14:paraId="4AA4A09F" w14:textId="6C46A443" w:rsidR="00E323AD" w:rsidRDefault="00E323AD" w:rsidP="00410AB5">
      <w:pPr>
        <w:jc w:val="both"/>
        <w:rPr>
          <w:b/>
          <w:bCs/>
          <w:lang w:eastAsia="ja-JP" w:bidi="hi-IN"/>
        </w:rPr>
      </w:pPr>
    </w:p>
    <w:p w14:paraId="6D18885C" w14:textId="572613DD" w:rsidR="00621A15" w:rsidRDefault="00621A15" w:rsidP="00410AB5">
      <w:pPr>
        <w:jc w:val="both"/>
        <w:rPr>
          <w:lang w:eastAsia="ja-JP" w:bidi="hi-IN"/>
        </w:rPr>
      </w:pPr>
      <w:r>
        <w:rPr>
          <w:lang w:eastAsia="ja-JP" w:bidi="hi-IN"/>
        </w:rPr>
        <w:t xml:space="preserve">Considering the huge unlicensed spectrum available, we do not see a strong motivation having similar channel bandwidth specified in FR2, i.e., 50 – 400 MHz, which are too narrow given the very wide spectrum available, i.e., 18.4 GHz unlicensed spectrum. From this perspective, we propose </w:t>
      </w:r>
      <w:r w:rsidR="00B12C52">
        <w:rPr>
          <w:lang w:eastAsia="ja-JP" w:bidi="hi-IN"/>
        </w:rPr>
        <w:t xml:space="preserve">800 MHz as a minimum channel bandwidth for </w:t>
      </w:r>
      <w:r>
        <w:rPr>
          <w:lang w:eastAsia="ja-JP" w:bidi="hi-IN"/>
        </w:rPr>
        <w:t>maximal utilization of the unlicensed spectrum</w:t>
      </w:r>
      <w:r w:rsidR="00B12C52">
        <w:rPr>
          <w:lang w:eastAsia="ja-JP" w:bidi="hi-IN"/>
        </w:rPr>
        <w:t xml:space="preserve">. Also we propose to define 2 GHz as a single carrier channel </w:t>
      </w:r>
      <w:r w:rsidR="001C3981">
        <w:rPr>
          <w:lang w:eastAsia="ja-JP" w:bidi="hi-IN"/>
        </w:rPr>
        <w:t>bandwidth</w:t>
      </w:r>
      <w:r w:rsidR="00B12C52">
        <w:rPr>
          <w:lang w:eastAsia="ja-JP" w:bidi="hi-IN"/>
        </w:rPr>
        <w:t>.</w:t>
      </w:r>
    </w:p>
    <w:p w14:paraId="16A42EC3" w14:textId="33A2B6D9" w:rsidR="00B12C52" w:rsidRDefault="00B12C52" w:rsidP="00410AB5">
      <w:pPr>
        <w:jc w:val="both"/>
        <w:rPr>
          <w:lang w:eastAsia="ja-JP" w:bidi="hi-IN"/>
        </w:rPr>
      </w:pPr>
    </w:p>
    <w:p w14:paraId="044D6BAB" w14:textId="2C7167CD" w:rsidR="00B12C52" w:rsidRPr="00B12C52" w:rsidRDefault="00B12C52" w:rsidP="00410AB5">
      <w:pPr>
        <w:jc w:val="both"/>
        <w:rPr>
          <w:b/>
          <w:bCs/>
          <w:i/>
          <w:iCs/>
          <w:lang w:eastAsia="ja-JP" w:bidi="hi-IN"/>
        </w:rPr>
      </w:pPr>
      <w:r w:rsidRPr="00B12C52">
        <w:rPr>
          <w:b/>
          <w:bCs/>
          <w:i/>
          <w:iCs/>
          <w:lang w:eastAsia="ja-JP" w:bidi="hi-IN"/>
        </w:rPr>
        <w:t xml:space="preserve">Proposal #3: </w:t>
      </w:r>
      <w:r w:rsidR="00D74733">
        <w:rPr>
          <w:b/>
          <w:bCs/>
          <w:i/>
          <w:iCs/>
          <w:lang w:eastAsia="ja-JP" w:bidi="hi-IN"/>
        </w:rPr>
        <w:t>Define the m</w:t>
      </w:r>
      <w:r w:rsidRPr="00B12C52">
        <w:rPr>
          <w:b/>
          <w:bCs/>
          <w:i/>
          <w:iCs/>
          <w:lang w:eastAsia="ja-JP" w:bidi="hi-IN"/>
        </w:rPr>
        <w:t xml:space="preserve">inimum channel bandwidth </w:t>
      </w:r>
      <w:r w:rsidR="00D74733">
        <w:rPr>
          <w:b/>
          <w:bCs/>
          <w:i/>
          <w:iCs/>
          <w:lang w:eastAsia="ja-JP" w:bidi="hi-IN"/>
        </w:rPr>
        <w:t>a</w:t>
      </w:r>
      <w:r w:rsidRPr="00B12C52">
        <w:rPr>
          <w:b/>
          <w:bCs/>
          <w:i/>
          <w:iCs/>
          <w:lang w:eastAsia="ja-JP" w:bidi="hi-IN"/>
        </w:rPr>
        <w:t>s 800 MHz.</w:t>
      </w:r>
    </w:p>
    <w:p w14:paraId="296E914E" w14:textId="3E56F432" w:rsidR="00B12C52" w:rsidRDefault="00B12C52" w:rsidP="00410AB5">
      <w:pPr>
        <w:jc w:val="both"/>
        <w:rPr>
          <w:b/>
          <w:bCs/>
          <w:i/>
          <w:iCs/>
          <w:lang w:eastAsia="ja-JP" w:bidi="hi-IN"/>
        </w:rPr>
      </w:pPr>
      <w:r w:rsidRPr="00B12C52">
        <w:rPr>
          <w:b/>
          <w:bCs/>
          <w:i/>
          <w:iCs/>
          <w:lang w:eastAsia="ja-JP" w:bidi="hi-IN"/>
        </w:rPr>
        <w:t xml:space="preserve">Proposal #4: </w:t>
      </w:r>
      <w:r w:rsidR="00D74733">
        <w:rPr>
          <w:b/>
          <w:bCs/>
          <w:i/>
          <w:iCs/>
          <w:lang w:eastAsia="ja-JP" w:bidi="hi-IN"/>
        </w:rPr>
        <w:t>Define m</w:t>
      </w:r>
      <w:r w:rsidRPr="00B12C52">
        <w:rPr>
          <w:b/>
          <w:bCs/>
          <w:i/>
          <w:iCs/>
          <w:lang w:eastAsia="ja-JP" w:bidi="hi-IN"/>
        </w:rPr>
        <w:t xml:space="preserve">aximum single carrier bandwidth </w:t>
      </w:r>
      <w:r w:rsidR="00D74733">
        <w:rPr>
          <w:b/>
          <w:bCs/>
          <w:i/>
          <w:iCs/>
          <w:lang w:eastAsia="ja-JP" w:bidi="hi-IN"/>
        </w:rPr>
        <w:t>a</w:t>
      </w:r>
      <w:r w:rsidRPr="00B12C52">
        <w:rPr>
          <w:b/>
          <w:bCs/>
          <w:i/>
          <w:iCs/>
          <w:lang w:eastAsia="ja-JP" w:bidi="hi-IN"/>
        </w:rPr>
        <w:t>s 2 GHz.</w:t>
      </w:r>
    </w:p>
    <w:p w14:paraId="28E30080" w14:textId="2796FC47" w:rsidR="0059597D" w:rsidRDefault="0059597D" w:rsidP="00410AB5">
      <w:pPr>
        <w:jc w:val="both"/>
        <w:rPr>
          <w:b/>
          <w:bCs/>
          <w:i/>
          <w:iCs/>
          <w:lang w:eastAsia="ja-JP" w:bidi="hi-IN"/>
        </w:rPr>
      </w:pPr>
    </w:p>
    <w:p w14:paraId="6658F819" w14:textId="0C9C9F0A" w:rsidR="0059597D" w:rsidRDefault="0059597D" w:rsidP="00410AB5">
      <w:pPr>
        <w:jc w:val="both"/>
        <w:rPr>
          <w:b/>
          <w:bCs/>
          <w:i/>
          <w:iCs/>
          <w:sz w:val="24"/>
          <w:szCs w:val="24"/>
          <w:lang w:eastAsia="ja-JP" w:bidi="hi-IN"/>
        </w:rPr>
      </w:pPr>
      <w:r w:rsidRPr="0059597D">
        <w:rPr>
          <w:b/>
          <w:bCs/>
          <w:i/>
          <w:iCs/>
          <w:sz w:val="24"/>
          <w:szCs w:val="24"/>
          <w:lang w:eastAsia="ja-JP" w:bidi="hi-IN"/>
        </w:rPr>
        <w:t>SCS feasibility aspect</w:t>
      </w:r>
      <w:r w:rsidR="0044707D">
        <w:rPr>
          <w:b/>
          <w:bCs/>
          <w:i/>
          <w:iCs/>
          <w:sz w:val="24"/>
          <w:szCs w:val="24"/>
          <w:lang w:eastAsia="ja-JP" w:bidi="hi-IN"/>
        </w:rPr>
        <w:t>s</w:t>
      </w:r>
    </w:p>
    <w:p w14:paraId="101607FC" w14:textId="77777777" w:rsidR="0044707D" w:rsidRDefault="0044707D" w:rsidP="00410AB5">
      <w:pPr>
        <w:jc w:val="both"/>
        <w:rPr>
          <w:lang w:eastAsia="ja-JP" w:bidi="hi-IN"/>
        </w:rPr>
      </w:pPr>
      <w:r>
        <w:rPr>
          <w:lang w:eastAsia="ja-JP" w:bidi="hi-IN"/>
        </w:rPr>
        <w:t>In this section, we discuss EVM and switching time aspects to evaluate feasibility of subcarrier spacing.</w:t>
      </w:r>
    </w:p>
    <w:p w14:paraId="7D547B63" w14:textId="6D2BC1A5" w:rsidR="0059597D" w:rsidRDefault="0044707D" w:rsidP="00410AB5">
      <w:pPr>
        <w:jc w:val="both"/>
        <w:rPr>
          <w:lang w:eastAsia="ja-JP" w:bidi="hi-IN"/>
        </w:rPr>
      </w:pPr>
      <w:r>
        <w:rPr>
          <w:lang w:eastAsia="ja-JP" w:bidi="hi-IN"/>
        </w:rPr>
        <w:t xml:space="preserve">Table 3 shows a summary of EVM based on various phase noise models, i.e., Ex-1 and Ex-2s from TR 38.803 and two models submitted in RAN4#96e. </w:t>
      </w:r>
      <w:r w:rsidR="00373091">
        <w:rPr>
          <w:lang w:eastAsia="ja-JP" w:bidi="hi-IN"/>
        </w:rPr>
        <w:t>For comparison, QPSK modulation is assumed at 60 GHz</w:t>
      </w:r>
      <w:r>
        <w:rPr>
          <w:lang w:eastAsia="ja-JP" w:bidi="hi-IN"/>
        </w:rPr>
        <w:t xml:space="preserve"> carrier frequency</w:t>
      </w:r>
      <w:r w:rsidR="00373091">
        <w:rPr>
          <w:lang w:eastAsia="ja-JP" w:bidi="hi-IN"/>
        </w:rPr>
        <w:t>.</w:t>
      </w:r>
    </w:p>
    <w:p w14:paraId="6DDB96A3" w14:textId="77777777" w:rsidR="00373091" w:rsidRDefault="00373091" w:rsidP="00410AB5">
      <w:pPr>
        <w:jc w:val="both"/>
        <w:rPr>
          <w:lang w:eastAsia="ja-JP" w:bidi="hi-IN"/>
        </w:rPr>
      </w:pPr>
    </w:p>
    <w:tbl>
      <w:tblPr>
        <w:tblW w:w="7460" w:type="dxa"/>
        <w:jc w:val="center"/>
        <w:tblCellMar>
          <w:left w:w="0" w:type="dxa"/>
          <w:right w:w="0" w:type="dxa"/>
        </w:tblCellMar>
        <w:tblLook w:val="04A0" w:firstRow="1" w:lastRow="0" w:firstColumn="1" w:lastColumn="0" w:noHBand="0" w:noVBand="1"/>
      </w:tblPr>
      <w:tblGrid>
        <w:gridCol w:w="2175"/>
        <w:gridCol w:w="1875"/>
        <w:gridCol w:w="1800"/>
        <w:gridCol w:w="1610"/>
      </w:tblGrid>
      <w:tr w:rsidR="0044707D" w:rsidRPr="0044707D" w14:paraId="724B9899" w14:textId="77777777" w:rsidTr="0044707D">
        <w:trPr>
          <w:trHeight w:val="235"/>
          <w:jc w:val="center"/>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4CF901" w14:textId="77777777" w:rsidR="0044707D" w:rsidRPr="0044707D" w:rsidRDefault="0044707D" w:rsidP="0044707D">
            <w:pPr>
              <w:jc w:val="both"/>
              <w:rPr>
                <w:b/>
                <w:bCs/>
                <w:lang w:eastAsia="ja-JP" w:bidi="hi-IN"/>
              </w:rPr>
            </w:pPr>
            <w:r w:rsidRPr="0044707D">
              <w:rPr>
                <w:b/>
                <w:bCs/>
                <w:lang w:eastAsia="ja-JP" w:bidi="hi-IN"/>
              </w:rPr>
              <w:t>Model</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F96491" w14:textId="77777777" w:rsidR="0044707D" w:rsidRPr="0044707D" w:rsidRDefault="0044707D" w:rsidP="0044707D">
            <w:pPr>
              <w:jc w:val="center"/>
              <w:rPr>
                <w:b/>
                <w:bCs/>
                <w:lang w:eastAsia="ja-JP" w:bidi="hi-IN"/>
              </w:rPr>
            </w:pPr>
            <w:r w:rsidRPr="0044707D">
              <w:rPr>
                <w:b/>
                <w:bCs/>
                <w:lang w:eastAsia="ja-JP" w:bidi="hi-IN"/>
              </w:rPr>
              <w:t>400 MHz 240 kHz</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93FA46" w14:textId="77777777" w:rsidR="0044707D" w:rsidRPr="0044707D" w:rsidRDefault="0044707D" w:rsidP="0044707D">
            <w:pPr>
              <w:jc w:val="center"/>
              <w:rPr>
                <w:b/>
                <w:bCs/>
                <w:lang w:eastAsia="ja-JP" w:bidi="hi-IN"/>
              </w:rPr>
            </w:pPr>
            <w:r w:rsidRPr="0044707D">
              <w:rPr>
                <w:b/>
                <w:bCs/>
                <w:lang w:eastAsia="ja-JP" w:bidi="hi-IN"/>
              </w:rPr>
              <w:t>400 MHz 960 kHz</w:t>
            </w:r>
          </w:p>
        </w:tc>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7F522F9" w14:textId="77777777" w:rsidR="0044707D" w:rsidRPr="0044707D" w:rsidRDefault="0044707D" w:rsidP="0044707D">
            <w:pPr>
              <w:jc w:val="center"/>
              <w:rPr>
                <w:b/>
                <w:bCs/>
                <w:lang w:eastAsia="ja-JP" w:bidi="hi-IN"/>
              </w:rPr>
            </w:pPr>
            <w:r w:rsidRPr="0044707D">
              <w:rPr>
                <w:b/>
                <w:bCs/>
                <w:lang w:eastAsia="ja-JP" w:bidi="hi-IN"/>
              </w:rPr>
              <w:t>2 GHz 960 kHz</w:t>
            </w:r>
          </w:p>
        </w:tc>
      </w:tr>
      <w:tr w:rsidR="0044707D" w:rsidRPr="0044707D" w14:paraId="01A26337" w14:textId="77777777" w:rsidTr="0044707D">
        <w:trPr>
          <w:trHeight w:val="154"/>
          <w:jc w:val="center"/>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2A263C" w14:textId="77777777" w:rsidR="0044707D" w:rsidRPr="0044707D" w:rsidRDefault="0044707D" w:rsidP="0044707D">
            <w:pPr>
              <w:jc w:val="both"/>
              <w:rPr>
                <w:b/>
                <w:bCs/>
                <w:lang w:eastAsia="ja-JP" w:bidi="hi-IN"/>
              </w:rPr>
            </w:pPr>
            <w:r w:rsidRPr="0044707D">
              <w:rPr>
                <w:b/>
                <w:bCs/>
                <w:lang w:eastAsia="ja-JP" w:bidi="hi-IN"/>
              </w:rPr>
              <w:t>Model 1</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9A0FE" w14:textId="77777777" w:rsidR="0044707D" w:rsidRPr="0044707D" w:rsidRDefault="0044707D" w:rsidP="0044707D">
            <w:pPr>
              <w:jc w:val="both"/>
              <w:rPr>
                <w:lang w:eastAsia="ja-JP" w:bidi="hi-IN"/>
              </w:rPr>
            </w:pPr>
            <w:r w:rsidRPr="0044707D">
              <w:rPr>
                <w:lang w:eastAsia="ja-JP" w:bidi="hi-IN"/>
              </w:rPr>
              <w:t>12.3 %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1F7E8" w14:textId="77777777" w:rsidR="0044707D" w:rsidRPr="0044707D" w:rsidRDefault="0044707D" w:rsidP="0044707D">
            <w:pPr>
              <w:jc w:val="both"/>
              <w:rPr>
                <w:lang w:eastAsia="ja-JP" w:bidi="hi-IN"/>
              </w:rPr>
            </w:pPr>
            <w:r w:rsidRPr="0044707D">
              <w:rPr>
                <w:lang w:eastAsia="ja-JP" w:bidi="hi-IN"/>
              </w:rPr>
              <w:t>12.1 %</w:t>
            </w:r>
          </w:p>
        </w:tc>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404BA3" w14:textId="77777777" w:rsidR="0044707D" w:rsidRPr="0044707D" w:rsidRDefault="0044707D" w:rsidP="0044707D">
            <w:pPr>
              <w:jc w:val="both"/>
              <w:rPr>
                <w:lang w:eastAsia="ja-JP" w:bidi="hi-IN"/>
              </w:rPr>
            </w:pPr>
            <w:r w:rsidRPr="0044707D">
              <w:rPr>
                <w:lang w:eastAsia="ja-JP" w:bidi="hi-IN"/>
              </w:rPr>
              <w:t>12.4 %</w:t>
            </w:r>
          </w:p>
        </w:tc>
      </w:tr>
      <w:tr w:rsidR="0044707D" w:rsidRPr="0044707D" w14:paraId="4D1E19D1" w14:textId="77777777" w:rsidTr="0044707D">
        <w:trPr>
          <w:trHeight w:val="154"/>
          <w:jc w:val="center"/>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C4F4E5" w14:textId="77777777" w:rsidR="0044707D" w:rsidRPr="0044707D" w:rsidRDefault="0044707D" w:rsidP="0044707D">
            <w:pPr>
              <w:jc w:val="both"/>
              <w:rPr>
                <w:b/>
                <w:bCs/>
                <w:lang w:eastAsia="ja-JP" w:bidi="hi-IN"/>
              </w:rPr>
            </w:pPr>
            <w:r w:rsidRPr="0044707D">
              <w:rPr>
                <w:b/>
                <w:bCs/>
                <w:lang w:eastAsia="ja-JP" w:bidi="hi-IN"/>
              </w:rPr>
              <w:t>Model 2 UE</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3CCB6" w14:textId="77777777" w:rsidR="0044707D" w:rsidRPr="0044707D" w:rsidRDefault="0044707D" w:rsidP="0044707D">
            <w:pPr>
              <w:jc w:val="both"/>
              <w:rPr>
                <w:lang w:eastAsia="ja-JP" w:bidi="hi-IN"/>
              </w:rPr>
            </w:pPr>
            <w:r w:rsidRPr="0044707D">
              <w:rPr>
                <w:lang w:eastAsia="ja-JP" w:bidi="hi-IN"/>
              </w:rPr>
              <w:t>10 %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1270C" w14:textId="77777777" w:rsidR="0044707D" w:rsidRPr="0044707D" w:rsidRDefault="0044707D" w:rsidP="0044707D">
            <w:pPr>
              <w:jc w:val="both"/>
              <w:rPr>
                <w:lang w:eastAsia="ja-JP" w:bidi="hi-IN"/>
              </w:rPr>
            </w:pPr>
            <w:r w:rsidRPr="0044707D">
              <w:rPr>
                <w:lang w:eastAsia="ja-JP" w:bidi="hi-IN"/>
              </w:rPr>
              <w:t>6.5 %</w:t>
            </w:r>
          </w:p>
        </w:tc>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43FBC1" w14:textId="77777777" w:rsidR="0044707D" w:rsidRPr="0044707D" w:rsidRDefault="0044707D" w:rsidP="0044707D">
            <w:pPr>
              <w:jc w:val="both"/>
              <w:rPr>
                <w:lang w:eastAsia="ja-JP" w:bidi="hi-IN"/>
              </w:rPr>
            </w:pPr>
            <w:r w:rsidRPr="0044707D">
              <w:rPr>
                <w:lang w:eastAsia="ja-JP" w:bidi="hi-IN"/>
              </w:rPr>
              <w:t>7 %</w:t>
            </w:r>
          </w:p>
        </w:tc>
      </w:tr>
      <w:tr w:rsidR="0044707D" w:rsidRPr="0044707D" w14:paraId="585B80F0" w14:textId="77777777" w:rsidTr="0044707D">
        <w:trPr>
          <w:trHeight w:val="253"/>
          <w:jc w:val="center"/>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D146B0" w14:textId="77777777" w:rsidR="0044707D" w:rsidRPr="0044707D" w:rsidRDefault="0044707D" w:rsidP="0044707D">
            <w:pPr>
              <w:jc w:val="both"/>
              <w:rPr>
                <w:b/>
                <w:bCs/>
                <w:lang w:eastAsia="ja-JP" w:bidi="hi-IN"/>
              </w:rPr>
            </w:pPr>
            <w:r w:rsidRPr="0044707D">
              <w:rPr>
                <w:b/>
                <w:bCs/>
                <w:lang w:eastAsia="ja-JP" w:bidi="hi-IN"/>
              </w:rPr>
              <w:t>Model 2 BS</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186A8" w14:textId="77777777" w:rsidR="0044707D" w:rsidRPr="0044707D" w:rsidRDefault="0044707D" w:rsidP="0044707D">
            <w:pPr>
              <w:jc w:val="both"/>
              <w:rPr>
                <w:lang w:eastAsia="ja-JP" w:bidi="hi-IN"/>
              </w:rPr>
            </w:pPr>
            <w:r w:rsidRPr="0044707D">
              <w:rPr>
                <w:lang w:eastAsia="ja-JP" w:bidi="hi-IN"/>
              </w:rPr>
              <w:t>3.5 %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7C820" w14:textId="77777777" w:rsidR="0044707D" w:rsidRPr="0044707D" w:rsidRDefault="0044707D" w:rsidP="0044707D">
            <w:pPr>
              <w:jc w:val="both"/>
              <w:rPr>
                <w:lang w:eastAsia="ja-JP" w:bidi="hi-IN"/>
              </w:rPr>
            </w:pPr>
            <w:r w:rsidRPr="0044707D">
              <w:rPr>
                <w:lang w:eastAsia="ja-JP" w:bidi="hi-IN"/>
              </w:rPr>
              <w:t>1.7 %</w:t>
            </w:r>
          </w:p>
        </w:tc>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F55F72" w14:textId="77777777" w:rsidR="0044707D" w:rsidRPr="0044707D" w:rsidRDefault="0044707D" w:rsidP="0044707D">
            <w:pPr>
              <w:jc w:val="both"/>
              <w:rPr>
                <w:lang w:eastAsia="ja-JP" w:bidi="hi-IN"/>
              </w:rPr>
            </w:pPr>
            <w:r w:rsidRPr="0044707D">
              <w:rPr>
                <w:lang w:eastAsia="ja-JP" w:bidi="hi-IN"/>
              </w:rPr>
              <w:t>3.1 %</w:t>
            </w:r>
          </w:p>
        </w:tc>
      </w:tr>
      <w:tr w:rsidR="0044707D" w:rsidRPr="0044707D" w14:paraId="6965B0D7" w14:textId="77777777" w:rsidTr="0044707D">
        <w:trPr>
          <w:trHeight w:val="163"/>
          <w:jc w:val="center"/>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E5FF0" w14:textId="77777777" w:rsidR="0044707D" w:rsidRPr="0044707D" w:rsidRDefault="0044707D" w:rsidP="0044707D">
            <w:pPr>
              <w:jc w:val="both"/>
              <w:rPr>
                <w:b/>
                <w:bCs/>
                <w:lang w:eastAsia="ja-JP" w:bidi="hi-IN"/>
              </w:rPr>
            </w:pPr>
            <w:r w:rsidRPr="0044707D">
              <w:rPr>
                <w:b/>
                <w:bCs/>
                <w:lang w:eastAsia="ja-JP" w:bidi="hi-IN"/>
              </w:rPr>
              <w:t>R4-2010176 Ericsson</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3517B" w14:textId="77777777" w:rsidR="0044707D" w:rsidRPr="0044707D" w:rsidRDefault="0044707D" w:rsidP="0044707D">
            <w:pPr>
              <w:jc w:val="both"/>
              <w:rPr>
                <w:lang w:eastAsia="ja-JP" w:bidi="hi-IN"/>
              </w:rPr>
            </w:pPr>
            <w:r w:rsidRPr="0044707D">
              <w:rPr>
                <w:lang w:eastAsia="ja-JP" w:bidi="hi-IN"/>
              </w:rPr>
              <w:t>9.4 %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9A69D" w14:textId="77777777" w:rsidR="0044707D" w:rsidRPr="0044707D" w:rsidRDefault="0044707D" w:rsidP="0044707D">
            <w:pPr>
              <w:jc w:val="both"/>
              <w:rPr>
                <w:lang w:eastAsia="ja-JP" w:bidi="hi-IN"/>
              </w:rPr>
            </w:pPr>
            <w:r w:rsidRPr="0044707D">
              <w:rPr>
                <w:lang w:eastAsia="ja-JP" w:bidi="hi-IN"/>
              </w:rPr>
              <w:t>7.8 %</w:t>
            </w:r>
          </w:p>
        </w:tc>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B9A117" w14:textId="77777777" w:rsidR="0044707D" w:rsidRPr="0044707D" w:rsidRDefault="0044707D" w:rsidP="0044707D">
            <w:pPr>
              <w:jc w:val="both"/>
              <w:rPr>
                <w:lang w:eastAsia="ja-JP" w:bidi="hi-IN"/>
              </w:rPr>
            </w:pPr>
            <w:r w:rsidRPr="0044707D">
              <w:rPr>
                <w:lang w:eastAsia="ja-JP" w:bidi="hi-IN"/>
              </w:rPr>
              <w:t>7.9 %</w:t>
            </w:r>
          </w:p>
        </w:tc>
      </w:tr>
      <w:tr w:rsidR="0044707D" w:rsidRPr="0044707D" w14:paraId="3880FFB4" w14:textId="77777777" w:rsidTr="0044707D">
        <w:trPr>
          <w:trHeight w:val="343"/>
          <w:jc w:val="center"/>
        </w:trPr>
        <w:tc>
          <w:tcPr>
            <w:tcW w:w="2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E1EDD" w14:textId="77777777" w:rsidR="0044707D" w:rsidRPr="0044707D" w:rsidRDefault="0044707D" w:rsidP="0044707D">
            <w:pPr>
              <w:jc w:val="both"/>
              <w:rPr>
                <w:b/>
                <w:bCs/>
                <w:lang w:eastAsia="ja-JP" w:bidi="hi-IN"/>
              </w:rPr>
            </w:pPr>
            <w:r w:rsidRPr="0044707D">
              <w:rPr>
                <w:b/>
                <w:bCs/>
                <w:lang w:eastAsia="ja-JP" w:bidi="hi-IN"/>
              </w:rPr>
              <w:t>R4-2011495 Huawei</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300AA" w14:textId="77777777" w:rsidR="0044707D" w:rsidRPr="0044707D" w:rsidRDefault="0044707D" w:rsidP="0044707D">
            <w:pPr>
              <w:jc w:val="both"/>
              <w:rPr>
                <w:lang w:eastAsia="ja-JP" w:bidi="hi-IN"/>
              </w:rPr>
            </w:pPr>
            <w:r w:rsidRPr="0044707D">
              <w:rPr>
                <w:lang w:eastAsia="ja-JP" w:bidi="hi-IN"/>
              </w:rPr>
              <w:t>9.8 %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67AD" w14:textId="77777777" w:rsidR="0044707D" w:rsidRPr="0044707D" w:rsidRDefault="0044707D" w:rsidP="0044707D">
            <w:pPr>
              <w:jc w:val="both"/>
              <w:rPr>
                <w:lang w:eastAsia="ja-JP" w:bidi="hi-IN"/>
              </w:rPr>
            </w:pPr>
            <w:r w:rsidRPr="0044707D">
              <w:rPr>
                <w:lang w:eastAsia="ja-JP" w:bidi="hi-IN"/>
              </w:rPr>
              <w:t>9.6 %</w:t>
            </w:r>
          </w:p>
        </w:tc>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6F4399" w14:textId="77777777" w:rsidR="0044707D" w:rsidRPr="0044707D" w:rsidRDefault="0044707D" w:rsidP="0044707D">
            <w:pPr>
              <w:jc w:val="both"/>
              <w:rPr>
                <w:lang w:eastAsia="ja-JP" w:bidi="hi-IN"/>
              </w:rPr>
            </w:pPr>
            <w:r w:rsidRPr="0044707D">
              <w:rPr>
                <w:lang w:eastAsia="ja-JP" w:bidi="hi-IN"/>
              </w:rPr>
              <w:t>9.9 %</w:t>
            </w:r>
          </w:p>
        </w:tc>
      </w:tr>
    </w:tbl>
    <w:p w14:paraId="5E621558" w14:textId="5AF70371" w:rsidR="0044707D" w:rsidRDefault="0044707D" w:rsidP="0044707D">
      <w:pPr>
        <w:jc w:val="center"/>
        <w:rPr>
          <w:lang w:eastAsia="ja-JP" w:bidi="hi-IN"/>
        </w:rPr>
      </w:pPr>
      <w:r>
        <w:rPr>
          <w:lang w:eastAsia="ja-JP" w:bidi="hi-IN"/>
        </w:rPr>
        <w:t>Table 3. EVM analysis for different channel BW and SCS</w:t>
      </w:r>
    </w:p>
    <w:p w14:paraId="514BDCBE" w14:textId="666044EE" w:rsidR="0044707D" w:rsidRDefault="0044707D" w:rsidP="00373091">
      <w:pPr>
        <w:rPr>
          <w:lang w:eastAsia="ja-JP" w:bidi="hi-IN"/>
        </w:rPr>
      </w:pPr>
    </w:p>
    <w:p w14:paraId="398633FA" w14:textId="66E8E5A6" w:rsidR="00373091" w:rsidRDefault="00373091" w:rsidP="0044707D">
      <w:pPr>
        <w:rPr>
          <w:lang w:eastAsia="ja-JP" w:bidi="hi-IN"/>
        </w:rPr>
      </w:pPr>
      <w:r>
        <w:rPr>
          <w:lang w:eastAsia="ja-JP" w:bidi="hi-IN"/>
        </w:rPr>
        <w:t xml:space="preserve">While some models, i.e., Ex-2 UE and BS, clearly show differences depending on bandwidth change and SCS change, some models, i.e., R4-2010176 and R4-2011495, do not show meaningful difference. Overall, EVMs are within RAN4 requirement. </w:t>
      </w:r>
      <w:r w:rsidR="00AA006F">
        <w:rPr>
          <w:lang w:eastAsia="ja-JP" w:bidi="hi-IN"/>
        </w:rPr>
        <w:t>D</w:t>
      </w:r>
      <w:r>
        <w:rPr>
          <w:lang w:eastAsia="ja-JP" w:bidi="hi-IN"/>
        </w:rPr>
        <w:t xml:space="preserve">etail analysis along with different phase noise models are </w:t>
      </w:r>
      <w:r w:rsidR="00AA006F">
        <w:rPr>
          <w:lang w:eastAsia="ja-JP" w:bidi="hi-IN"/>
        </w:rPr>
        <w:t>discussed</w:t>
      </w:r>
      <w:r>
        <w:rPr>
          <w:lang w:eastAsia="ja-JP" w:bidi="hi-IN"/>
        </w:rPr>
        <w:t xml:space="preserve"> in [2].</w:t>
      </w:r>
    </w:p>
    <w:p w14:paraId="0DBAB5A8" w14:textId="678B49CC" w:rsidR="00AA006F" w:rsidRDefault="00AA006F" w:rsidP="0044707D">
      <w:pPr>
        <w:rPr>
          <w:lang w:eastAsia="ja-JP" w:bidi="hi-IN"/>
        </w:rPr>
      </w:pPr>
    </w:p>
    <w:p w14:paraId="659B05B4" w14:textId="02D14831" w:rsidR="0092093B" w:rsidRPr="00B525E5" w:rsidRDefault="0092093B" w:rsidP="0044707D">
      <w:pPr>
        <w:rPr>
          <w:b/>
          <w:bCs/>
          <w:i/>
          <w:iCs/>
          <w:lang w:eastAsia="ja-JP" w:bidi="hi-IN"/>
        </w:rPr>
      </w:pPr>
      <w:r w:rsidRPr="00B525E5">
        <w:rPr>
          <w:b/>
          <w:bCs/>
          <w:i/>
          <w:iCs/>
          <w:lang w:eastAsia="ja-JP" w:bidi="hi-IN"/>
        </w:rPr>
        <w:t>Observation</w:t>
      </w:r>
      <w:r w:rsidR="00B525E5">
        <w:rPr>
          <w:b/>
          <w:bCs/>
          <w:i/>
          <w:iCs/>
          <w:lang w:eastAsia="ja-JP" w:bidi="hi-IN"/>
        </w:rPr>
        <w:t xml:space="preserve"> #</w:t>
      </w:r>
      <w:r w:rsidR="001C3981">
        <w:rPr>
          <w:b/>
          <w:bCs/>
          <w:i/>
          <w:iCs/>
          <w:lang w:eastAsia="ja-JP" w:bidi="hi-IN"/>
        </w:rPr>
        <w:t>2</w:t>
      </w:r>
      <w:r w:rsidRPr="00B525E5">
        <w:rPr>
          <w:b/>
          <w:bCs/>
          <w:i/>
          <w:iCs/>
          <w:lang w:eastAsia="ja-JP" w:bidi="hi-IN"/>
        </w:rPr>
        <w:t xml:space="preserve">: </w:t>
      </w:r>
      <w:r w:rsidR="00B525E5" w:rsidRPr="00B525E5">
        <w:rPr>
          <w:b/>
          <w:bCs/>
          <w:i/>
          <w:iCs/>
          <w:lang w:eastAsia="ja-JP" w:bidi="hi-IN"/>
        </w:rPr>
        <w:t>Overall EVMs are within RAN4 requirement for different CBW and SCS configurations.</w:t>
      </w:r>
    </w:p>
    <w:p w14:paraId="475344E2" w14:textId="77777777" w:rsidR="0092093B" w:rsidRDefault="0092093B" w:rsidP="0044707D">
      <w:pPr>
        <w:rPr>
          <w:lang w:eastAsia="ja-JP" w:bidi="hi-IN"/>
        </w:rPr>
      </w:pPr>
    </w:p>
    <w:p w14:paraId="3C50419D" w14:textId="6D429C97" w:rsidR="00AA006F" w:rsidRDefault="00AA006F" w:rsidP="0044707D">
      <w:pPr>
        <w:rPr>
          <w:lang w:eastAsia="ja-JP" w:bidi="hi-IN"/>
        </w:rPr>
      </w:pPr>
      <w:r>
        <w:rPr>
          <w:lang w:eastAsia="ja-JP" w:bidi="hi-IN"/>
        </w:rPr>
        <w:t>From DL-UL switching timing perspective, the following scenario is assumed.</w:t>
      </w:r>
    </w:p>
    <w:p w14:paraId="00170556" w14:textId="68BE0065" w:rsidR="00AA006F" w:rsidRDefault="00AA006F" w:rsidP="0044707D">
      <w:pPr>
        <w:rPr>
          <w:lang w:eastAsia="ja-JP" w:bidi="hi-IN"/>
        </w:rPr>
      </w:pPr>
      <w:r w:rsidRPr="00AA006F">
        <w:rPr>
          <w:noProof/>
          <w:lang w:eastAsia="ja-JP" w:bidi="hi-IN"/>
        </w:rPr>
        <w:lastRenderedPageBreak/>
        <w:drawing>
          <wp:inline distT="0" distB="0" distL="0" distR="0" wp14:anchorId="6D57E7BE" wp14:editId="155A20B5">
            <wp:extent cx="6122035" cy="1337310"/>
            <wp:effectExtent l="0" t="0" r="0" b="0"/>
            <wp:docPr id="9" name="Picture 8">
              <a:extLst xmlns:a="http://schemas.openxmlformats.org/drawingml/2006/main">
                <a:ext uri="{FF2B5EF4-FFF2-40B4-BE49-F238E27FC236}">
                  <a16:creationId xmlns:a16="http://schemas.microsoft.com/office/drawing/2014/main" id="{D8A4A42C-EE2F-435F-9C2B-450B056424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8A4A42C-EE2F-435F-9C2B-450B0564244A}"/>
                        </a:ext>
                      </a:extLst>
                    </pic:cNvPr>
                    <pic:cNvPicPr>
                      <a:picLocks noChangeAspect="1"/>
                    </pic:cNvPicPr>
                  </pic:nvPicPr>
                  <pic:blipFill>
                    <a:blip r:embed="rId9"/>
                    <a:stretch>
                      <a:fillRect/>
                    </a:stretch>
                  </pic:blipFill>
                  <pic:spPr>
                    <a:xfrm>
                      <a:off x="0" y="0"/>
                      <a:ext cx="6122035" cy="1337310"/>
                    </a:xfrm>
                    <a:prstGeom prst="rect">
                      <a:avLst/>
                    </a:prstGeom>
                  </pic:spPr>
                </pic:pic>
              </a:graphicData>
            </a:graphic>
          </wp:inline>
        </w:drawing>
      </w:r>
    </w:p>
    <w:p w14:paraId="5C222058" w14:textId="2B0EE28B" w:rsidR="00AA006F" w:rsidRDefault="00AA006F" w:rsidP="00AA006F">
      <w:pPr>
        <w:ind w:left="284" w:hanging="284"/>
        <w:jc w:val="center"/>
        <w:rPr>
          <w:lang w:eastAsia="ja-JP" w:bidi="hi-IN"/>
        </w:rPr>
      </w:pPr>
      <w:r>
        <w:rPr>
          <w:lang w:eastAsia="ja-JP" w:bidi="hi-IN"/>
        </w:rPr>
        <w:t>Figure 1. DL-UL switching timing evaluation scenario</w:t>
      </w:r>
    </w:p>
    <w:p w14:paraId="7515AB56" w14:textId="4E9EA645" w:rsidR="00AA006F" w:rsidRDefault="00AA006F" w:rsidP="00AA006F">
      <w:pPr>
        <w:ind w:left="284" w:hanging="284"/>
        <w:rPr>
          <w:lang w:eastAsia="ja-JP" w:bidi="hi-IN"/>
        </w:rPr>
      </w:pPr>
      <w:r>
        <w:rPr>
          <w:lang w:eastAsia="ja-JP" w:bidi="hi-IN"/>
        </w:rPr>
        <w:t>In the evaluation, the following assumptions are used:</w:t>
      </w:r>
    </w:p>
    <w:p w14:paraId="375D7CBC" w14:textId="773BF9B7" w:rsidR="00AA006F" w:rsidRDefault="00AA006F" w:rsidP="00AA006F">
      <w:pPr>
        <w:pStyle w:val="ListParagraph"/>
        <w:numPr>
          <w:ilvl w:val="0"/>
          <w:numId w:val="23"/>
        </w:numPr>
        <w:rPr>
          <w:lang w:eastAsia="ja-JP" w:bidi="hi-IN"/>
        </w:rPr>
      </w:pPr>
      <w:r>
        <w:rPr>
          <w:lang w:eastAsia="ja-JP" w:bidi="hi-IN"/>
        </w:rPr>
        <w:t>G1 + G2 = G3 + G4 = GP symbol time, i.e., 1 GP in this evaluation</w:t>
      </w:r>
    </w:p>
    <w:p w14:paraId="52E7D804" w14:textId="75033E3F" w:rsidR="00AA006F" w:rsidRDefault="00AA006F" w:rsidP="00AA006F">
      <w:pPr>
        <w:pStyle w:val="ListParagraph"/>
        <w:numPr>
          <w:ilvl w:val="0"/>
          <w:numId w:val="23"/>
        </w:numPr>
        <w:rPr>
          <w:lang w:eastAsia="ja-JP" w:bidi="hi-IN"/>
        </w:rPr>
      </w:pPr>
      <w:r>
        <w:rPr>
          <w:lang w:eastAsia="ja-JP" w:bidi="hi-IN"/>
        </w:rPr>
        <w:t>G3 &gt; G4, i.e., DL-to-UL switching time is larger than UL-to-DL switching time</w:t>
      </w:r>
    </w:p>
    <w:p w14:paraId="1877F72B" w14:textId="46D0AEFE" w:rsidR="00AA006F" w:rsidRDefault="00AA006F" w:rsidP="00AA006F">
      <w:pPr>
        <w:pStyle w:val="ListParagraph"/>
        <w:numPr>
          <w:ilvl w:val="0"/>
          <w:numId w:val="23"/>
        </w:numPr>
        <w:rPr>
          <w:lang w:eastAsia="ja-JP" w:bidi="hi-IN"/>
        </w:rPr>
      </w:pPr>
      <w:r>
        <w:rPr>
          <w:lang w:eastAsia="ja-JP" w:bidi="hi-IN"/>
        </w:rPr>
        <w:t>Asymmetric DL-to-UL and UL-to-DL switching times are assumed. Note that the same times were assumed in Rel-15 NR.</w:t>
      </w:r>
    </w:p>
    <w:p w14:paraId="176BD30B" w14:textId="1BC45E21" w:rsidR="00AA006F" w:rsidRDefault="00AA006F" w:rsidP="00AA006F">
      <w:pPr>
        <w:rPr>
          <w:lang w:eastAsia="ja-JP" w:bidi="hi-IN"/>
        </w:rPr>
      </w:pPr>
      <w:r>
        <w:rPr>
          <w:lang w:eastAsia="ja-JP" w:bidi="hi-IN"/>
        </w:rPr>
        <w:t>Table 4 shows the summary of the evaluation based on the assumptions above</w:t>
      </w:r>
      <w:r w:rsidR="00C02909">
        <w:rPr>
          <w:lang w:eastAsia="ja-JP" w:bidi="hi-IN"/>
        </w:rPr>
        <w:t xml:space="preserve"> where </w:t>
      </w:r>
      <w:r>
        <w:rPr>
          <w:lang w:eastAsia="ja-JP" w:bidi="hi-IN"/>
        </w:rPr>
        <w:t xml:space="preserve">100 m </w:t>
      </w:r>
      <w:r w:rsidR="00C02909">
        <w:rPr>
          <w:lang w:eastAsia="ja-JP" w:bidi="hi-IN"/>
        </w:rPr>
        <w:t xml:space="preserve">target </w:t>
      </w:r>
      <w:r>
        <w:rPr>
          <w:lang w:eastAsia="ja-JP" w:bidi="hi-IN"/>
        </w:rPr>
        <w:t xml:space="preserve">cell </w:t>
      </w:r>
      <w:r w:rsidR="00C02909">
        <w:rPr>
          <w:lang w:eastAsia="ja-JP" w:bidi="hi-IN"/>
        </w:rPr>
        <w:t>radius is assumed to compare with 11ad/ay target cell radius.</w:t>
      </w:r>
    </w:p>
    <w:p w14:paraId="32BDEE99" w14:textId="77777777" w:rsidR="00C02909" w:rsidRDefault="00C02909" w:rsidP="00AA006F">
      <w:pPr>
        <w:rPr>
          <w:lang w:eastAsia="ja-JP" w:bidi="hi-IN"/>
        </w:rPr>
      </w:pPr>
    </w:p>
    <w:p w14:paraId="77978760" w14:textId="1B8BC99B" w:rsidR="00AA006F" w:rsidRDefault="00C02909" w:rsidP="00AA006F">
      <w:pPr>
        <w:rPr>
          <w:lang w:eastAsia="ja-JP" w:bidi="hi-IN"/>
        </w:rPr>
      </w:pPr>
      <w:r>
        <w:rPr>
          <w:noProof/>
        </w:rPr>
        <w:drawing>
          <wp:inline distT="0" distB="0" distL="0" distR="0" wp14:anchorId="5CC20D02" wp14:editId="64D2C3EF">
            <wp:extent cx="6122035" cy="162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625600"/>
                    </a:xfrm>
                    <a:prstGeom prst="rect">
                      <a:avLst/>
                    </a:prstGeom>
                  </pic:spPr>
                </pic:pic>
              </a:graphicData>
            </a:graphic>
          </wp:inline>
        </w:drawing>
      </w:r>
    </w:p>
    <w:p w14:paraId="4BEB2296" w14:textId="650D4026" w:rsidR="00AA006F" w:rsidRDefault="00AA006F" w:rsidP="00AA006F">
      <w:pPr>
        <w:jc w:val="center"/>
        <w:rPr>
          <w:lang w:eastAsia="ja-JP" w:bidi="hi-IN"/>
        </w:rPr>
      </w:pPr>
      <w:r>
        <w:rPr>
          <w:lang w:eastAsia="ja-JP" w:bidi="hi-IN"/>
        </w:rPr>
        <w:t>Table 4. The summary of DL-UL switching time</w:t>
      </w:r>
    </w:p>
    <w:p w14:paraId="4862E7D1" w14:textId="3B772273" w:rsidR="00AA006F" w:rsidRDefault="00AA006F" w:rsidP="00AA006F">
      <w:pPr>
        <w:rPr>
          <w:lang w:eastAsia="ja-JP" w:bidi="hi-IN"/>
        </w:rPr>
      </w:pPr>
    </w:p>
    <w:p w14:paraId="64715876" w14:textId="20615A09" w:rsidR="00C02909" w:rsidRDefault="00C02909" w:rsidP="00AA006F">
      <w:pPr>
        <w:rPr>
          <w:lang w:eastAsia="ja-JP" w:bidi="hi-IN"/>
        </w:rPr>
      </w:pPr>
      <w:r>
        <w:rPr>
          <w:lang w:eastAsia="ja-JP" w:bidi="hi-IN"/>
        </w:rPr>
        <w:t xml:space="preserve">Based on the analysis, to support 960 kHz SCS for 100 m cell radius, 1 uS DL-to-UL switching time should be guaranteed. </w:t>
      </w:r>
      <w:r w:rsidR="0092093B">
        <w:rPr>
          <w:lang w:eastAsia="ja-JP" w:bidi="hi-IN"/>
        </w:rPr>
        <w:t>Considering Rel-16 discussion on transient period report capability where 1 uS transient period was supported by majority companies, we assess 1 uS DL-to-UL switching time is achievable. Thus SCS up to 960 kHz SCS are feasible from DL-to-UL switching timing perspective. This analysis assumed 1 GP and this can be further relaxed, i.e., 2 or more GP. Then, even 1920 kHz SCS is feasible to support 100 m cell radius.</w:t>
      </w:r>
    </w:p>
    <w:p w14:paraId="3C45C951" w14:textId="51C7DAEB" w:rsidR="00AA006F" w:rsidRDefault="00AA006F" w:rsidP="00AA006F">
      <w:pPr>
        <w:rPr>
          <w:lang w:eastAsia="ja-JP" w:bidi="hi-IN"/>
        </w:rPr>
      </w:pPr>
    </w:p>
    <w:p w14:paraId="4675D73B" w14:textId="58DA5ABA" w:rsidR="00B525E5" w:rsidRPr="00B525E5" w:rsidRDefault="0092093B" w:rsidP="00AA006F">
      <w:pPr>
        <w:rPr>
          <w:b/>
          <w:bCs/>
          <w:i/>
          <w:iCs/>
          <w:lang w:eastAsia="ja-JP" w:bidi="hi-IN"/>
        </w:rPr>
      </w:pPr>
      <w:r w:rsidRPr="00B525E5">
        <w:rPr>
          <w:b/>
          <w:bCs/>
          <w:i/>
          <w:iCs/>
          <w:lang w:eastAsia="ja-JP" w:bidi="hi-IN"/>
        </w:rPr>
        <w:t>Observation</w:t>
      </w:r>
      <w:r w:rsidR="00B525E5">
        <w:rPr>
          <w:b/>
          <w:bCs/>
          <w:i/>
          <w:iCs/>
          <w:lang w:eastAsia="ja-JP" w:bidi="hi-IN"/>
        </w:rPr>
        <w:t xml:space="preserve"> #</w:t>
      </w:r>
      <w:r w:rsidR="001C3981">
        <w:rPr>
          <w:b/>
          <w:bCs/>
          <w:i/>
          <w:iCs/>
          <w:lang w:eastAsia="ja-JP" w:bidi="hi-IN"/>
        </w:rPr>
        <w:t>3</w:t>
      </w:r>
      <w:r w:rsidRPr="00B525E5">
        <w:rPr>
          <w:b/>
          <w:bCs/>
          <w:i/>
          <w:iCs/>
          <w:lang w:eastAsia="ja-JP" w:bidi="hi-IN"/>
        </w:rPr>
        <w:t xml:space="preserve">: </w:t>
      </w:r>
      <w:r w:rsidR="00B525E5" w:rsidRPr="00B525E5">
        <w:rPr>
          <w:b/>
          <w:bCs/>
          <w:i/>
          <w:iCs/>
          <w:lang w:eastAsia="ja-JP" w:bidi="hi-IN"/>
        </w:rPr>
        <w:t>Subcarrier spacing up to 960 kHz seems feasible without any major technical issue, i.e., 1 uS transient period capability was discussed in Rel-16.</w:t>
      </w:r>
    </w:p>
    <w:p w14:paraId="7543113E" w14:textId="266ADCD7" w:rsidR="00B525E5" w:rsidRPr="00B525E5" w:rsidRDefault="00B525E5" w:rsidP="00AA006F">
      <w:pPr>
        <w:rPr>
          <w:b/>
          <w:bCs/>
          <w:i/>
          <w:iCs/>
          <w:lang w:eastAsia="ja-JP" w:bidi="hi-IN"/>
        </w:rPr>
      </w:pPr>
      <w:r w:rsidRPr="00B525E5">
        <w:rPr>
          <w:b/>
          <w:bCs/>
          <w:i/>
          <w:iCs/>
          <w:lang w:eastAsia="ja-JP" w:bidi="hi-IN"/>
        </w:rPr>
        <w:t>Observation</w:t>
      </w:r>
      <w:r>
        <w:rPr>
          <w:b/>
          <w:bCs/>
          <w:i/>
          <w:iCs/>
          <w:lang w:eastAsia="ja-JP" w:bidi="hi-IN"/>
        </w:rPr>
        <w:t xml:space="preserve"> #</w:t>
      </w:r>
      <w:r w:rsidR="001C3981">
        <w:rPr>
          <w:b/>
          <w:bCs/>
          <w:i/>
          <w:iCs/>
          <w:lang w:eastAsia="ja-JP" w:bidi="hi-IN"/>
        </w:rPr>
        <w:t>4</w:t>
      </w:r>
      <w:r w:rsidRPr="00B525E5">
        <w:rPr>
          <w:b/>
          <w:bCs/>
          <w:i/>
          <w:iCs/>
          <w:lang w:eastAsia="ja-JP" w:bidi="hi-IN"/>
        </w:rPr>
        <w:t>: 1920 kHz SCS seems to be challenging with 1 symbol GP assumption. However, this can be resolved by relaxing the GP assumption, i.e., 2 or more symbol GP.</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271995CF" w14:textId="1DCC3E28" w:rsidR="002E7EF7" w:rsidRDefault="00D74733" w:rsidP="002E7EF7">
      <w:pPr>
        <w:jc w:val="both"/>
        <w:rPr>
          <w:lang w:val="sv-SE" w:eastAsia="ja-JP" w:bidi="hi-IN"/>
        </w:rPr>
      </w:pPr>
      <w:r>
        <w:rPr>
          <w:lang w:val="sv-SE" w:eastAsia="ja-JP" w:bidi="hi-IN"/>
        </w:rPr>
        <w:t>In this paper, we shared our view on the numerologies and channel bandwidths in 52.6 – 71 GHz. The following proposal were made:</w:t>
      </w:r>
    </w:p>
    <w:p w14:paraId="2A2DD2E9" w14:textId="77777777" w:rsidR="00D74733" w:rsidRPr="00621A15" w:rsidRDefault="00D74733" w:rsidP="00D74733">
      <w:pPr>
        <w:overflowPunct w:val="0"/>
        <w:autoSpaceDE w:val="0"/>
        <w:autoSpaceDN w:val="0"/>
        <w:adjustRightInd w:val="0"/>
        <w:spacing w:after="0"/>
        <w:jc w:val="both"/>
        <w:textAlignment w:val="baseline"/>
        <w:rPr>
          <w:rFonts w:eastAsia="Times New Roman"/>
          <w:b/>
          <w:bCs/>
          <w:i/>
          <w:iCs/>
          <w:lang w:eastAsia="zh-CN"/>
        </w:rPr>
      </w:pPr>
      <w:r w:rsidRPr="00621A15">
        <w:rPr>
          <w:rFonts w:eastAsia="Times New Roman"/>
          <w:b/>
          <w:bCs/>
          <w:i/>
          <w:iCs/>
          <w:lang w:eastAsia="zh-CN"/>
        </w:rPr>
        <w:t>Proposal #1: Consider efficient ways to support aggregated wide bandwidth, such as up to 8 GHz</w:t>
      </w:r>
      <w:r>
        <w:rPr>
          <w:rFonts w:eastAsia="Times New Roman"/>
          <w:b/>
          <w:bCs/>
          <w:i/>
          <w:iCs/>
          <w:lang w:eastAsia="zh-CN"/>
        </w:rPr>
        <w:t xml:space="preserve"> or 8.64 GHz.</w:t>
      </w:r>
    </w:p>
    <w:p w14:paraId="3B010C29" w14:textId="77777777" w:rsidR="00D74733" w:rsidRPr="00621A15" w:rsidRDefault="00D74733" w:rsidP="00D74733">
      <w:pPr>
        <w:overflowPunct w:val="0"/>
        <w:autoSpaceDE w:val="0"/>
        <w:autoSpaceDN w:val="0"/>
        <w:adjustRightInd w:val="0"/>
        <w:spacing w:after="0"/>
        <w:jc w:val="both"/>
        <w:textAlignment w:val="baseline"/>
        <w:rPr>
          <w:rFonts w:eastAsia="Times New Roman"/>
          <w:b/>
          <w:bCs/>
          <w:i/>
          <w:iCs/>
          <w:lang w:eastAsia="zh-CN"/>
        </w:rPr>
      </w:pPr>
      <w:r w:rsidRPr="00621A15">
        <w:rPr>
          <w:rFonts w:eastAsia="Times New Roman"/>
          <w:b/>
          <w:bCs/>
          <w:i/>
          <w:iCs/>
          <w:lang w:eastAsia="zh-CN"/>
        </w:rPr>
        <w:t>Proposal #2: Do not support 120 kHz subcarrier spacing for NR 52.6 GHz to 71 GHz.</w:t>
      </w:r>
    </w:p>
    <w:p w14:paraId="2A79ADBD" w14:textId="77777777" w:rsidR="00D74733" w:rsidRPr="00D74733" w:rsidRDefault="00D74733" w:rsidP="00D74733">
      <w:pPr>
        <w:overflowPunct w:val="0"/>
        <w:autoSpaceDE w:val="0"/>
        <w:autoSpaceDN w:val="0"/>
        <w:adjustRightInd w:val="0"/>
        <w:spacing w:after="0"/>
        <w:jc w:val="both"/>
        <w:textAlignment w:val="baseline"/>
        <w:rPr>
          <w:rFonts w:eastAsia="Times New Roman"/>
          <w:b/>
          <w:bCs/>
          <w:i/>
          <w:iCs/>
          <w:lang w:eastAsia="zh-CN"/>
        </w:rPr>
      </w:pPr>
      <w:r w:rsidRPr="00D74733">
        <w:rPr>
          <w:rFonts w:eastAsia="Times New Roman"/>
          <w:b/>
          <w:bCs/>
          <w:i/>
          <w:iCs/>
          <w:lang w:eastAsia="zh-CN"/>
        </w:rPr>
        <w:t>Proposal #3: Define the minimum channel bandwidth as 800 MHz.</w:t>
      </w:r>
    </w:p>
    <w:p w14:paraId="190AF17F" w14:textId="5EC9B243" w:rsidR="00D74733" w:rsidRDefault="00D74733" w:rsidP="00D74733">
      <w:pPr>
        <w:overflowPunct w:val="0"/>
        <w:autoSpaceDE w:val="0"/>
        <w:autoSpaceDN w:val="0"/>
        <w:adjustRightInd w:val="0"/>
        <w:spacing w:after="0"/>
        <w:jc w:val="both"/>
        <w:textAlignment w:val="baseline"/>
        <w:rPr>
          <w:rFonts w:eastAsia="Times New Roman"/>
          <w:b/>
          <w:bCs/>
          <w:i/>
          <w:iCs/>
          <w:lang w:eastAsia="zh-CN"/>
        </w:rPr>
      </w:pPr>
      <w:r w:rsidRPr="00D74733">
        <w:rPr>
          <w:rFonts w:eastAsia="Times New Roman"/>
          <w:b/>
          <w:bCs/>
          <w:i/>
          <w:iCs/>
          <w:lang w:eastAsia="zh-CN"/>
        </w:rPr>
        <w:lastRenderedPageBreak/>
        <w:t>Proposal #4: Define maximum single carrier bandwidth as 2 GHz.</w:t>
      </w:r>
    </w:p>
    <w:p w14:paraId="1C70B9C7" w14:textId="77777777" w:rsidR="00B525E5" w:rsidRDefault="00B525E5" w:rsidP="00D74733">
      <w:pPr>
        <w:overflowPunct w:val="0"/>
        <w:autoSpaceDE w:val="0"/>
        <w:autoSpaceDN w:val="0"/>
        <w:adjustRightInd w:val="0"/>
        <w:spacing w:after="0"/>
        <w:jc w:val="both"/>
        <w:textAlignment w:val="baseline"/>
        <w:rPr>
          <w:rFonts w:eastAsia="Times New Roman"/>
          <w:b/>
          <w:bCs/>
          <w:i/>
          <w:iCs/>
          <w:lang w:eastAsia="zh-CN"/>
        </w:rPr>
      </w:pPr>
    </w:p>
    <w:p w14:paraId="0CFA07E9" w14:textId="662C0D33" w:rsidR="00B525E5" w:rsidRPr="00B525E5" w:rsidRDefault="00B525E5" w:rsidP="00B525E5">
      <w:pPr>
        <w:jc w:val="both"/>
        <w:rPr>
          <w:lang w:val="sv-SE" w:eastAsia="ja-JP" w:bidi="hi-IN"/>
        </w:rPr>
      </w:pPr>
      <w:r w:rsidRPr="00B525E5">
        <w:rPr>
          <w:lang w:val="sv-SE" w:eastAsia="ja-JP" w:bidi="hi-IN"/>
        </w:rPr>
        <w:t>Regarding the SCS feasibility, the following observations were made:</w:t>
      </w:r>
    </w:p>
    <w:p w14:paraId="5D3F575F" w14:textId="77777777" w:rsidR="001C3981" w:rsidRPr="001C3981" w:rsidRDefault="001C3981" w:rsidP="001C3981">
      <w:pPr>
        <w:overflowPunct w:val="0"/>
        <w:autoSpaceDE w:val="0"/>
        <w:autoSpaceDN w:val="0"/>
        <w:adjustRightInd w:val="0"/>
        <w:spacing w:after="0"/>
        <w:jc w:val="both"/>
        <w:textAlignment w:val="baseline"/>
        <w:rPr>
          <w:rFonts w:eastAsia="Times New Roman"/>
          <w:b/>
          <w:bCs/>
          <w:i/>
          <w:iCs/>
          <w:lang w:eastAsia="zh-CN"/>
        </w:rPr>
      </w:pPr>
      <w:r w:rsidRPr="001C3981">
        <w:rPr>
          <w:rFonts w:eastAsia="Times New Roman"/>
          <w:b/>
          <w:bCs/>
          <w:i/>
          <w:iCs/>
          <w:lang w:eastAsia="zh-CN"/>
        </w:rPr>
        <w:t>Observation</w:t>
      </w:r>
      <w:r>
        <w:rPr>
          <w:rFonts w:eastAsia="Times New Roman"/>
          <w:b/>
          <w:bCs/>
          <w:i/>
          <w:iCs/>
          <w:lang w:eastAsia="zh-CN"/>
        </w:rPr>
        <w:t xml:space="preserve"> #1</w:t>
      </w:r>
      <w:r w:rsidRPr="001C3981">
        <w:rPr>
          <w:rFonts w:eastAsia="Times New Roman"/>
          <w:b/>
          <w:bCs/>
          <w:i/>
          <w:iCs/>
          <w:lang w:eastAsia="zh-CN"/>
        </w:rPr>
        <w:t>: Smaller channel bandwidth defined for NR in 52.6 – 71 GHz frequency range would make NR less competitive against for the existing systems.</w:t>
      </w:r>
    </w:p>
    <w:p w14:paraId="3A082BA4" w14:textId="610ADA3B" w:rsidR="00B525E5" w:rsidRPr="00B525E5" w:rsidRDefault="00B525E5" w:rsidP="00B525E5">
      <w:pPr>
        <w:overflowPunct w:val="0"/>
        <w:autoSpaceDE w:val="0"/>
        <w:autoSpaceDN w:val="0"/>
        <w:adjustRightInd w:val="0"/>
        <w:spacing w:after="0"/>
        <w:jc w:val="both"/>
        <w:textAlignment w:val="baseline"/>
        <w:rPr>
          <w:rFonts w:eastAsia="Times New Roman"/>
          <w:b/>
          <w:bCs/>
          <w:i/>
          <w:iCs/>
          <w:lang w:eastAsia="zh-CN"/>
        </w:rPr>
      </w:pPr>
      <w:r w:rsidRPr="00B525E5">
        <w:rPr>
          <w:rFonts w:eastAsia="Times New Roman"/>
          <w:b/>
          <w:bCs/>
          <w:i/>
          <w:iCs/>
          <w:lang w:eastAsia="zh-CN"/>
        </w:rPr>
        <w:t>Observation #</w:t>
      </w:r>
      <w:r w:rsidR="001C3981">
        <w:rPr>
          <w:rFonts w:eastAsia="Times New Roman"/>
          <w:b/>
          <w:bCs/>
          <w:i/>
          <w:iCs/>
          <w:lang w:eastAsia="zh-CN"/>
        </w:rPr>
        <w:t>2</w:t>
      </w:r>
      <w:r w:rsidRPr="00B525E5">
        <w:rPr>
          <w:rFonts w:eastAsia="Times New Roman"/>
          <w:b/>
          <w:bCs/>
          <w:i/>
          <w:iCs/>
          <w:lang w:eastAsia="zh-CN"/>
        </w:rPr>
        <w:t>: Overall EVMs are within RAN4 requirement for different CBW and SCS configurations.</w:t>
      </w:r>
    </w:p>
    <w:p w14:paraId="655F5418" w14:textId="05931C26" w:rsidR="00B525E5" w:rsidRPr="00B525E5" w:rsidRDefault="00B525E5" w:rsidP="00B525E5">
      <w:pPr>
        <w:overflowPunct w:val="0"/>
        <w:autoSpaceDE w:val="0"/>
        <w:autoSpaceDN w:val="0"/>
        <w:adjustRightInd w:val="0"/>
        <w:spacing w:after="0"/>
        <w:jc w:val="both"/>
        <w:textAlignment w:val="baseline"/>
        <w:rPr>
          <w:rFonts w:eastAsia="Times New Roman"/>
          <w:b/>
          <w:bCs/>
          <w:i/>
          <w:iCs/>
          <w:lang w:eastAsia="zh-CN"/>
        </w:rPr>
      </w:pPr>
      <w:r w:rsidRPr="00B525E5">
        <w:rPr>
          <w:rFonts w:eastAsia="Times New Roman"/>
          <w:b/>
          <w:bCs/>
          <w:i/>
          <w:iCs/>
          <w:lang w:eastAsia="zh-CN"/>
        </w:rPr>
        <w:t>Observation #</w:t>
      </w:r>
      <w:r w:rsidR="001C3981">
        <w:rPr>
          <w:rFonts w:eastAsia="Times New Roman"/>
          <w:b/>
          <w:bCs/>
          <w:i/>
          <w:iCs/>
          <w:lang w:eastAsia="zh-CN"/>
        </w:rPr>
        <w:t>3</w:t>
      </w:r>
      <w:r w:rsidRPr="00B525E5">
        <w:rPr>
          <w:rFonts w:eastAsia="Times New Roman"/>
          <w:b/>
          <w:bCs/>
          <w:i/>
          <w:iCs/>
          <w:lang w:eastAsia="zh-CN"/>
        </w:rPr>
        <w:t>: Subcarrier spacing up to 960 kHz seems feasible without any major technical issue, i.e., 1 uS transient period capability was discussed in Rel-16.</w:t>
      </w:r>
    </w:p>
    <w:p w14:paraId="152A01E0" w14:textId="0A535B74" w:rsidR="00B525E5" w:rsidRPr="00B525E5" w:rsidRDefault="00B525E5" w:rsidP="00B525E5">
      <w:pPr>
        <w:overflowPunct w:val="0"/>
        <w:autoSpaceDE w:val="0"/>
        <w:autoSpaceDN w:val="0"/>
        <w:adjustRightInd w:val="0"/>
        <w:spacing w:after="0"/>
        <w:jc w:val="both"/>
        <w:textAlignment w:val="baseline"/>
        <w:rPr>
          <w:rFonts w:eastAsia="Times New Roman"/>
          <w:b/>
          <w:bCs/>
          <w:i/>
          <w:iCs/>
          <w:lang w:eastAsia="zh-CN"/>
        </w:rPr>
      </w:pPr>
      <w:r w:rsidRPr="00B525E5">
        <w:rPr>
          <w:rFonts w:eastAsia="Times New Roman"/>
          <w:b/>
          <w:bCs/>
          <w:i/>
          <w:iCs/>
          <w:lang w:eastAsia="zh-CN"/>
        </w:rPr>
        <w:t>Observation #</w:t>
      </w:r>
      <w:r w:rsidR="001C3981">
        <w:rPr>
          <w:rFonts w:eastAsia="Times New Roman"/>
          <w:b/>
          <w:bCs/>
          <w:i/>
          <w:iCs/>
          <w:lang w:eastAsia="zh-CN"/>
        </w:rPr>
        <w:t>4</w:t>
      </w:r>
      <w:bookmarkStart w:id="5" w:name="_GoBack"/>
      <w:bookmarkEnd w:id="5"/>
      <w:r w:rsidRPr="00B525E5">
        <w:rPr>
          <w:rFonts w:eastAsia="Times New Roman"/>
          <w:b/>
          <w:bCs/>
          <w:i/>
          <w:iCs/>
          <w:lang w:eastAsia="zh-CN"/>
        </w:rPr>
        <w:t>: 1920 kHz SCS seems to be challenging with 1 symbol GP assumption. However, this can be resolved by relaxing the GP assumption, i.e., 2 or more symbol GP.</w:t>
      </w:r>
    </w:p>
    <w:p w14:paraId="1132CFEC" w14:textId="77777777" w:rsidR="00B525E5" w:rsidRPr="00D74733" w:rsidRDefault="00B525E5" w:rsidP="00D74733">
      <w:pPr>
        <w:overflowPunct w:val="0"/>
        <w:autoSpaceDE w:val="0"/>
        <w:autoSpaceDN w:val="0"/>
        <w:adjustRightInd w:val="0"/>
        <w:spacing w:after="0"/>
        <w:jc w:val="both"/>
        <w:textAlignment w:val="baseline"/>
        <w:rPr>
          <w:rFonts w:eastAsia="Times New Roman"/>
          <w:b/>
          <w:bCs/>
          <w:i/>
          <w:iCs/>
          <w:lang w:eastAsia="zh-CN"/>
        </w:rPr>
      </w:pP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758D5ED" w14:textId="2E5F2B92" w:rsidR="00A84C6D" w:rsidRDefault="00C96329" w:rsidP="00D74733">
      <w:pPr>
        <w:pStyle w:val="TAC"/>
        <w:ind w:left="45"/>
        <w:jc w:val="both"/>
        <w:rPr>
          <w:lang w:val="en-US" w:eastAsia="ja-JP"/>
        </w:rPr>
      </w:pPr>
      <w:r>
        <w:rPr>
          <w:lang w:val="en-US" w:eastAsia="ja-JP"/>
        </w:rPr>
        <w:t xml:space="preserve">[1] </w:t>
      </w:r>
      <w:r w:rsidR="00D74733" w:rsidRPr="00D74733">
        <w:rPr>
          <w:lang w:val="en-US" w:eastAsia="ja-JP"/>
        </w:rPr>
        <w:t>R4-2011838</w:t>
      </w:r>
      <w:r w:rsidR="00D74733">
        <w:rPr>
          <w:lang w:val="en-US" w:eastAsia="ja-JP"/>
        </w:rPr>
        <w:t>, WF on numerologies for FS_NR_52_to_71GHz, Intel</w:t>
      </w:r>
    </w:p>
    <w:p w14:paraId="14175589" w14:textId="668B6220" w:rsidR="00373091" w:rsidRDefault="00373091" w:rsidP="00D74733">
      <w:pPr>
        <w:pStyle w:val="TAC"/>
        <w:ind w:left="45"/>
        <w:jc w:val="both"/>
        <w:rPr>
          <w:lang w:val="en-US" w:eastAsia="ja-JP"/>
        </w:rPr>
      </w:pPr>
      <w:r w:rsidRPr="008B7C8C">
        <w:rPr>
          <w:lang w:val="en-US" w:eastAsia="ja-JP"/>
        </w:rPr>
        <w:t xml:space="preserve">[2] </w:t>
      </w:r>
      <w:r w:rsidR="008B7C8C" w:rsidRPr="008B7C8C">
        <w:rPr>
          <w:lang w:val="en-US" w:eastAsia="ja-JP"/>
        </w:rPr>
        <w:t>R4-2015564</w:t>
      </w:r>
      <w:r w:rsidRPr="008B7C8C">
        <w:rPr>
          <w:lang w:val="en-US" w:eastAsia="ja-JP"/>
        </w:rPr>
        <w:t xml:space="preserve">, On 60 GHz phase noise </w:t>
      </w:r>
      <w:r w:rsidR="00AA006F" w:rsidRPr="008B7C8C">
        <w:rPr>
          <w:lang w:val="en-US" w:eastAsia="ja-JP"/>
        </w:rPr>
        <w:t>models and RF impairments, Intel</w:t>
      </w:r>
    </w:p>
    <w:p w14:paraId="0C405A4B" w14:textId="326EA367" w:rsidR="001C3BBE" w:rsidRDefault="001C3BBE" w:rsidP="00D74733">
      <w:pPr>
        <w:pStyle w:val="TAC"/>
        <w:ind w:left="45"/>
        <w:jc w:val="both"/>
        <w:rPr>
          <w:lang w:val="en-US" w:eastAsia="ja-JP"/>
        </w:rPr>
      </w:pPr>
      <w:r>
        <w:rPr>
          <w:lang w:val="en-US" w:eastAsia="ja-JP"/>
        </w:rPr>
        <w:t>[3] 3GPP TR 38.807 v16.0.0, Study on requirements for NR beyond 52.6 GHz</w:t>
      </w:r>
    </w:p>
    <w:p w14:paraId="2786BE7D" w14:textId="77777777" w:rsidR="00D74733" w:rsidRDefault="00D74733" w:rsidP="00D74733">
      <w:pPr>
        <w:pStyle w:val="TAC"/>
        <w:ind w:left="45"/>
        <w:jc w:val="both"/>
        <w:rPr>
          <w:lang w:val="en-US" w:eastAsia="ja-JP"/>
        </w:rPr>
      </w:pP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212EA" w14:textId="77777777" w:rsidR="008761FE" w:rsidRDefault="008761FE">
      <w:r>
        <w:separator/>
      </w:r>
    </w:p>
  </w:endnote>
  <w:endnote w:type="continuationSeparator" w:id="0">
    <w:p w14:paraId="7E76F3FB" w14:textId="77777777" w:rsidR="008761FE" w:rsidRDefault="008761FE">
      <w:r>
        <w:continuationSeparator/>
      </w:r>
    </w:p>
  </w:endnote>
  <w:endnote w:type="continuationNotice" w:id="1">
    <w:p w14:paraId="6AEE8C65" w14:textId="77777777" w:rsidR="008761FE" w:rsidRDefault="00876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FB82C" w14:textId="77777777" w:rsidR="008761FE" w:rsidRDefault="008761FE">
      <w:r>
        <w:separator/>
      </w:r>
    </w:p>
  </w:footnote>
  <w:footnote w:type="continuationSeparator" w:id="0">
    <w:p w14:paraId="3AE3F765" w14:textId="77777777" w:rsidR="008761FE" w:rsidRDefault="008761FE">
      <w:r>
        <w:continuationSeparator/>
      </w:r>
    </w:p>
  </w:footnote>
  <w:footnote w:type="continuationNotice" w:id="1">
    <w:p w14:paraId="6D5C8179" w14:textId="77777777" w:rsidR="008761FE" w:rsidRDefault="008761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7F3E36"/>
    <w:multiLevelType w:val="hybridMultilevel"/>
    <w:tmpl w:val="24C28160"/>
    <w:lvl w:ilvl="0" w:tplc="2E1AE85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1"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4"/>
  </w:num>
  <w:num w:numId="7">
    <w:abstractNumId w:val="18"/>
  </w:num>
  <w:num w:numId="8">
    <w:abstractNumId w:val="8"/>
  </w:num>
  <w:num w:numId="9">
    <w:abstractNumId w:val="15"/>
  </w:num>
  <w:num w:numId="10">
    <w:abstractNumId w:val="12"/>
  </w:num>
  <w:num w:numId="11">
    <w:abstractNumId w:val="6"/>
  </w:num>
  <w:num w:numId="12">
    <w:abstractNumId w:val="19"/>
  </w:num>
  <w:num w:numId="13">
    <w:abstractNumId w:val="21"/>
  </w:num>
  <w:num w:numId="14">
    <w:abstractNumId w:val="2"/>
  </w:num>
  <w:num w:numId="15">
    <w:abstractNumId w:val="13"/>
  </w:num>
  <w:num w:numId="16">
    <w:abstractNumId w:val="20"/>
  </w:num>
  <w:num w:numId="17">
    <w:abstractNumId w:val="10"/>
  </w:num>
  <w:num w:numId="18">
    <w:abstractNumId w:val="17"/>
  </w:num>
  <w:num w:numId="19">
    <w:abstractNumId w:val="16"/>
  </w:num>
  <w:num w:numId="20">
    <w:abstractNumId w:val="9"/>
  </w:num>
  <w:num w:numId="21">
    <w:abstractNumId w:val="7"/>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2ABB"/>
    <w:rsid w:val="0005326A"/>
    <w:rsid w:val="000602D4"/>
    <w:rsid w:val="0006342B"/>
    <w:rsid w:val="00072B46"/>
    <w:rsid w:val="0007382E"/>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A2A23"/>
    <w:rsid w:val="000A4121"/>
    <w:rsid w:val="000A4AA3"/>
    <w:rsid w:val="000A550E"/>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1C9A"/>
    <w:rsid w:val="00102F34"/>
    <w:rsid w:val="00110E26"/>
    <w:rsid w:val="0011232E"/>
    <w:rsid w:val="00115EA7"/>
    <w:rsid w:val="00120AEA"/>
    <w:rsid w:val="00123A47"/>
    <w:rsid w:val="00124A97"/>
    <w:rsid w:val="00130DC6"/>
    <w:rsid w:val="001314EF"/>
    <w:rsid w:val="00134C5E"/>
    <w:rsid w:val="00137D3C"/>
    <w:rsid w:val="00151BA6"/>
    <w:rsid w:val="00153528"/>
    <w:rsid w:val="001546D2"/>
    <w:rsid w:val="00161648"/>
    <w:rsid w:val="00162548"/>
    <w:rsid w:val="00163E5C"/>
    <w:rsid w:val="00166B0B"/>
    <w:rsid w:val="001724CB"/>
    <w:rsid w:val="001770FF"/>
    <w:rsid w:val="001776F8"/>
    <w:rsid w:val="0018724F"/>
    <w:rsid w:val="00192E60"/>
    <w:rsid w:val="00196452"/>
    <w:rsid w:val="001A08AA"/>
    <w:rsid w:val="001A494E"/>
    <w:rsid w:val="001A696A"/>
    <w:rsid w:val="001A759A"/>
    <w:rsid w:val="001B437B"/>
    <w:rsid w:val="001B6F96"/>
    <w:rsid w:val="001B7753"/>
    <w:rsid w:val="001C3981"/>
    <w:rsid w:val="001C3BBE"/>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2897"/>
    <w:rsid w:val="00222B0C"/>
    <w:rsid w:val="00223615"/>
    <w:rsid w:val="00225EDA"/>
    <w:rsid w:val="00226964"/>
    <w:rsid w:val="00233D0B"/>
    <w:rsid w:val="00235394"/>
    <w:rsid w:val="00237F41"/>
    <w:rsid w:val="00241218"/>
    <w:rsid w:val="0024230C"/>
    <w:rsid w:val="00250351"/>
    <w:rsid w:val="00250DFD"/>
    <w:rsid w:val="0025212D"/>
    <w:rsid w:val="00254D59"/>
    <w:rsid w:val="0026179F"/>
    <w:rsid w:val="00273308"/>
    <w:rsid w:val="00274E1A"/>
    <w:rsid w:val="00282213"/>
    <w:rsid w:val="00285380"/>
    <w:rsid w:val="002858BF"/>
    <w:rsid w:val="00286AE5"/>
    <w:rsid w:val="00292377"/>
    <w:rsid w:val="0029464A"/>
    <w:rsid w:val="0029467F"/>
    <w:rsid w:val="002954BE"/>
    <w:rsid w:val="00297561"/>
    <w:rsid w:val="002A01D4"/>
    <w:rsid w:val="002A1B9B"/>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E7EF7"/>
    <w:rsid w:val="002F4093"/>
    <w:rsid w:val="0030075C"/>
    <w:rsid w:val="003022A5"/>
    <w:rsid w:val="003048DF"/>
    <w:rsid w:val="0030611C"/>
    <w:rsid w:val="00306D8F"/>
    <w:rsid w:val="00310908"/>
    <w:rsid w:val="00311A42"/>
    <w:rsid w:val="003144B4"/>
    <w:rsid w:val="003209A6"/>
    <w:rsid w:val="003258EE"/>
    <w:rsid w:val="00334543"/>
    <w:rsid w:val="00335371"/>
    <w:rsid w:val="003368EC"/>
    <w:rsid w:val="00345309"/>
    <w:rsid w:val="003476CC"/>
    <w:rsid w:val="003508C5"/>
    <w:rsid w:val="003514DA"/>
    <w:rsid w:val="00352331"/>
    <w:rsid w:val="00354CCF"/>
    <w:rsid w:val="00355792"/>
    <w:rsid w:val="0036018E"/>
    <w:rsid w:val="00361580"/>
    <w:rsid w:val="003627BC"/>
    <w:rsid w:val="0036339F"/>
    <w:rsid w:val="00367724"/>
    <w:rsid w:val="00372395"/>
    <w:rsid w:val="00373091"/>
    <w:rsid w:val="003737C2"/>
    <w:rsid w:val="00374193"/>
    <w:rsid w:val="00374477"/>
    <w:rsid w:val="00377193"/>
    <w:rsid w:val="00377DBC"/>
    <w:rsid w:val="003805E2"/>
    <w:rsid w:val="0038216B"/>
    <w:rsid w:val="00385011"/>
    <w:rsid w:val="00385E7E"/>
    <w:rsid w:val="00390AE4"/>
    <w:rsid w:val="00394403"/>
    <w:rsid w:val="0039459B"/>
    <w:rsid w:val="0039642D"/>
    <w:rsid w:val="00397B8C"/>
    <w:rsid w:val="003A0138"/>
    <w:rsid w:val="003A1E69"/>
    <w:rsid w:val="003A415C"/>
    <w:rsid w:val="003C1BD5"/>
    <w:rsid w:val="003C625A"/>
    <w:rsid w:val="003C72DD"/>
    <w:rsid w:val="003D275E"/>
    <w:rsid w:val="003D5B5F"/>
    <w:rsid w:val="003D677C"/>
    <w:rsid w:val="003E0752"/>
    <w:rsid w:val="003E0CAE"/>
    <w:rsid w:val="003E5311"/>
    <w:rsid w:val="003F0B25"/>
    <w:rsid w:val="003F1C1B"/>
    <w:rsid w:val="003F29E9"/>
    <w:rsid w:val="003F2C91"/>
    <w:rsid w:val="0040001F"/>
    <w:rsid w:val="00401144"/>
    <w:rsid w:val="00401E4A"/>
    <w:rsid w:val="0041086C"/>
    <w:rsid w:val="00410AB5"/>
    <w:rsid w:val="00412063"/>
    <w:rsid w:val="00416DFC"/>
    <w:rsid w:val="00422574"/>
    <w:rsid w:val="0042611A"/>
    <w:rsid w:val="004271BA"/>
    <w:rsid w:val="00432495"/>
    <w:rsid w:val="00434D47"/>
    <w:rsid w:val="00437F35"/>
    <w:rsid w:val="00442579"/>
    <w:rsid w:val="00446710"/>
    <w:rsid w:val="0044707D"/>
    <w:rsid w:val="004472F0"/>
    <w:rsid w:val="00453003"/>
    <w:rsid w:val="00455F29"/>
    <w:rsid w:val="004560DA"/>
    <w:rsid w:val="00456CA6"/>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0262"/>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48A"/>
    <w:rsid w:val="00546AC8"/>
    <w:rsid w:val="005570D4"/>
    <w:rsid w:val="005711E1"/>
    <w:rsid w:val="00574418"/>
    <w:rsid w:val="0058353D"/>
    <w:rsid w:val="00590995"/>
    <w:rsid w:val="00590A8D"/>
    <w:rsid w:val="0059597D"/>
    <w:rsid w:val="005973B3"/>
    <w:rsid w:val="00597A6B"/>
    <w:rsid w:val="005B70B7"/>
    <w:rsid w:val="005B7D50"/>
    <w:rsid w:val="005C1920"/>
    <w:rsid w:val="005C666F"/>
    <w:rsid w:val="005C6B62"/>
    <w:rsid w:val="005C7913"/>
    <w:rsid w:val="005D1BFF"/>
    <w:rsid w:val="005D7D55"/>
    <w:rsid w:val="005E4A6C"/>
    <w:rsid w:val="005E50E7"/>
    <w:rsid w:val="005E634F"/>
    <w:rsid w:val="005F11A0"/>
    <w:rsid w:val="005F1799"/>
    <w:rsid w:val="005F4249"/>
    <w:rsid w:val="005F45D1"/>
    <w:rsid w:val="006152B9"/>
    <w:rsid w:val="0061639C"/>
    <w:rsid w:val="00620402"/>
    <w:rsid w:val="00620F19"/>
    <w:rsid w:val="00621586"/>
    <w:rsid w:val="00621A15"/>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5D3C"/>
    <w:rsid w:val="006A4F45"/>
    <w:rsid w:val="006A5844"/>
    <w:rsid w:val="006A5AE8"/>
    <w:rsid w:val="006A6D23"/>
    <w:rsid w:val="006D6A3D"/>
    <w:rsid w:val="006E6CA4"/>
    <w:rsid w:val="006E7C24"/>
    <w:rsid w:val="006F2184"/>
    <w:rsid w:val="006F6A0D"/>
    <w:rsid w:val="006F7C0C"/>
    <w:rsid w:val="00701EB1"/>
    <w:rsid w:val="007028EC"/>
    <w:rsid w:val="007036FE"/>
    <w:rsid w:val="0070646B"/>
    <w:rsid w:val="0072472A"/>
    <w:rsid w:val="00724770"/>
    <w:rsid w:val="0073151C"/>
    <w:rsid w:val="00732360"/>
    <w:rsid w:val="00743C70"/>
    <w:rsid w:val="00745E99"/>
    <w:rsid w:val="00746D54"/>
    <w:rsid w:val="00747B1B"/>
    <w:rsid w:val="00750A83"/>
    <w:rsid w:val="00754929"/>
    <w:rsid w:val="007678AB"/>
    <w:rsid w:val="0077245D"/>
    <w:rsid w:val="00774060"/>
    <w:rsid w:val="00775461"/>
    <w:rsid w:val="0078038B"/>
    <w:rsid w:val="00780418"/>
    <w:rsid w:val="00784BFC"/>
    <w:rsid w:val="007936C1"/>
    <w:rsid w:val="0079480E"/>
    <w:rsid w:val="007959D0"/>
    <w:rsid w:val="007A13BA"/>
    <w:rsid w:val="007A41E8"/>
    <w:rsid w:val="007B1E69"/>
    <w:rsid w:val="007B5784"/>
    <w:rsid w:val="007C13FD"/>
    <w:rsid w:val="007C43EE"/>
    <w:rsid w:val="007C6D42"/>
    <w:rsid w:val="007C79F0"/>
    <w:rsid w:val="007D4ED4"/>
    <w:rsid w:val="007D61F3"/>
    <w:rsid w:val="007D69FE"/>
    <w:rsid w:val="007E30EF"/>
    <w:rsid w:val="007E312D"/>
    <w:rsid w:val="007E65BD"/>
    <w:rsid w:val="007F0E1E"/>
    <w:rsid w:val="007F29A7"/>
    <w:rsid w:val="007F7E8C"/>
    <w:rsid w:val="00807E0E"/>
    <w:rsid w:val="00831E70"/>
    <w:rsid w:val="00832802"/>
    <w:rsid w:val="00832852"/>
    <w:rsid w:val="00832A1E"/>
    <w:rsid w:val="0083671B"/>
    <w:rsid w:val="00837966"/>
    <w:rsid w:val="00843A91"/>
    <w:rsid w:val="00845903"/>
    <w:rsid w:val="00857888"/>
    <w:rsid w:val="0086381C"/>
    <w:rsid w:val="00866C1D"/>
    <w:rsid w:val="00872201"/>
    <w:rsid w:val="00873396"/>
    <w:rsid w:val="00874C16"/>
    <w:rsid w:val="00875F15"/>
    <w:rsid w:val="008761FE"/>
    <w:rsid w:val="0087636F"/>
    <w:rsid w:val="00877C87"/>
    <w:rsid w:val="00884F56"/>
    <w:rsid w:val="00890B06"/>
    <w:rsid w:val="00894CDE"/>
    <w:rsid w:val="008A35EA"/>
    <w:rsid w:val="008A4538"/>
    <w:rsid w:val="008A70E8"/>
    <w:rsid w:val="008B2E5C"/>
    <w:rsid w:val="008B402C"/>
    <w:rsid w:val="008B5AE7"/>
    <w:rsid w:val="008B5CD3"/>
    <w:rsid w:val="008B7C8C"/>
    <w:rsid w:val="008C60E9"/>
    <w:rsid w:val="008D13F9"/>
    <w:rsid w:val="008D315F"/>
    <w:rsid w:val="008D3614"/>
    <w:rsid w:val="008D3FD7"/>
    <w:rsid w:val="008D6657"/>
    <w:rsid w:val="008D6DFC"/>
    <w:rsid w:val="008E0657"/>
    <w:rsid w:val="008E0E6A"/>
    <w:rsid w:val="008E3ADA"/>
    <w:rsid w:val="008F1B99"/>
    <w:rsid w:val="008F6056"/>
    <w:rsid w:val="008F7427"/>
    <w:rsid w:val="009027BA"/>
    <w:rsid w:val="00903B26"/>
    <w:rsid w:val="009136A0"/>
    <w:rsid w:val="00914DF1"/>
    <w:rsid w:val="0092093B"/>
    <w:rsid w:val="009257BC"/>
    <w:rsid w:val="0093121C"/>
    <w:rsid w:val="00934C2C"/>
    <w:rsid w:val="00941108"/>
    <w:rsid w:val="00941EB9"/>
    <w:rsid w:val="00944FDE"/>
    <w:rsid w:val="00946900"/>
    <w:rsid w:val="00953C30"/>
    <w:rsid w:val="009615AF"/>
    <w:rsid w:val="00961A75"/>
    <w:rsid w:val="009627BD"/>
    <w:rsid w:val="00962C53"/>
    <w:rsid w:val="00965791"/>
    <w:rsid w:val="00966D94"/>
    <w:rsid w:val="009733BD"/>
    <w:rsid w:val="00975DA9"/>
    <w:rsid w:val="00977DE4"/>
    <w:rsid w:val="00983910"/>
    <w:rsid w:val="009919F7"/>
    <w:rsid w:val="00993F49"/>
    <w:rsid w:val="0099479C"/>
    <w:rsid w:val="009A0A28"/>
    <w:rsid w:val="009A3083"/>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109CF"/>
    <w:rsid w:val="00A13D54"/>
    <w:rsid w:val="00A1570A"/>
    <w:rsid w:val="00A174C4"/>
    <w:rsid w:val="00A20E80"/>
    <w:rsid w:val="00A30F06"/>
    <w:rsid w:val="00A32B1A"/>
    <w:rsid w:val="00A445E5"/>
    <w:rsid w:val="00A46AFB"/>
    <w:rsid w:val="00A53198"/>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CC5"/>
    <w:rsid w:val="00A93107"/>
    <w:rsid w:val="00A94B36"/>
    <w:rsid w:val="00AA006F"/>
    <w:rsid w:val="00AA337A"/>
    <w:rsid w:val="00AA53C6"/>
    <w:rsid w:val="00AA5980"/>
    <w:rsid w:val="00AA730B"/>
    <w:rsid w:val="00AA7AA7"/>
    <w:rsid w:val="00AB79F1"/>
    <w:rsid w:val="00AC2348"/>
    <w:rsid w:val="00AC3EDB"/>
    <w:rsid w:val="00AD144B"/>
    <w:rsid w:val="00AD390E"/>
    <w:rsid w:val="00AD570D"/>
    <w:rsid w:val="00AD64B3"/>
    <w:rsid w:val="00AE119C"/>
    <w:rsid w:val="00AE3444"/>
    <w:rsid w:val="00AE7868"/>
    <w:rsid w:val="00AF0407"/>
    <w:rsid w:val="00AF065F"/>
    <w:rsid w:val="00AF1CC0"/>
    <w:rsid w:val="00AF3858"/>
    <w:rsid w:val="00AF5655"/>
    <w:rsid w:val="00B00AEC"/>
    <w:rsid w:val="00B04101"/>
    <w:rsid w:val="00B05554"/>
    <w:rsid w:val="00B06BE1"/>
    <w:rsid w:val="00B127B6"/>
    <w:rsid w:val="00B12C52"/>
    <w:rsid w:val="00B159D4"/>
    <w:rsid w:val="00B43CEC"/>
    <w:rsid w:val="00B525E5"/>
    <w:rsid w:val="00B57265"/>
    <w:rsid w:val="00B572DC"/>
    <w:rsid w:val="00B62783"/>
    <w:rsid w:val="00B665D2"/>
    <w:rsid w:val="00B6681C"/>
    <w:rsid w:val="00B73C6C"/>
    <w:rsid w:val="00B76B98"/>
    <w:rsid w:val="00B77DE3"/>
    <w:rsid w:val="00B8446C"/>
    <w:rsid w:val="00B93D12"/>
    <w:rsid w:val="00B95BAE"/>
    <w:rsid w:val="00B961FE"/>
    <w:rsid w:val="00B97D8E"/>
    <w:rsid w:val="00BA5F05"/>
    <w:rsid w:val="00BB14B5"/>
    <w:rsid w:val="00BB7240"/>
    <w:rsid w:val="00BB7B8C"/>
    <w:rsid w:val="00BB7CAF"/>
    <w:rsid w:val="00BC7BB0"/>
    <w:rsid w:val="00BD209B"/>
    <w:rsid w:val="00BD299D"/>
    <w:rsid w:val="00BD352D"/>
    <w:rsid w:val="00BD3B83"/>
    <w:rsid w:val="00BD6404"/>
    <w:rsid w:val="00BE1F34"/>
    <w:rsid w:val="00BE7FF4"/>
    <w:rsid w:val="00BF0511"/>
    <w:rsid w:val="00BF2692"/>
    <w:rsid w:val="00BF7196"/>
    <w:rsid w:val="00C0095C"/>
    <w:rsid w:val="00C02909"/>
    <w:rsid w:val="00C04098"/>
    <w:rsid w:val="00C04401"/>
    <w:rsid w:val="00C11DEE"/>
    <w:rsid w:val="00C17E6A"/>
    <w:rsid w:val="00C2010C"/>
    <w:rsid w:val="00C20B1F"/>
    <w:rsid w:val="00C340E5"/>
    <w:rsid w:val="00C3469C"/>
    <w:rsid w:val="00C36DE9"/>
    <w:rsid w:val="00C410D0"/>
    <w:rsid w:val="00C46054"/>
    <w:rsid w:val="00C50A26"/>
    <w:rsid w:val="00C52184"/>
    <w:rsid w:val="00C65891"/>
    <w:rsid w:val="00C7225C"/>
    <w:rsid w:val="00C73715"/>
    <w:rsid w:val="00C75D0C"/>
    <w:rsid w:val="00C77DD9"/>
    <w:rsid w:val="00C81210"/>
    <w:rsid w:val="00C82648"/>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018F3"/>
    <w:rsid w:val="00D11448"/>
    <w:rsid w:val="00D152B7"/>
    <w:rsid w:val="00D232D6"/>
    <w:rsid w:val="00D24867"/>
    <w:rsid w:val="00D3188C"/>
    <w:rsid w:val="00D37BEF"/>
    <w:rsid w:val="00D47506"/>
    <w:rsid w:val="00D520E4"/>
    <w:rsid w:val="00D52759"/>
    <w:rsid w:val="00D557AB"/>
    <w:rsid w:val="00D557F9"/>
    <w:rsid w:val="00D57DFA"/>
    <w:rsid w:val="00D57F26"/>
    <w:rsid w:val="00D604B9"/>
    <w:rsid w:val="00D61D18"/>
    <w:rsid w:val="00D659C0"/>
    <w:rsid w:val="00D71F73"/>
    <w:rsid w:val="00D73ED6"/>
    <w:rsid w:val="00D74733"/>
    <w:rsid w:val="00D80B01"/>
    <w:rsid w:val="00D83B07"/>
    <w:rsid w:val="00D86F65"/>
    <w:rsid w:val="00D9307D"/>
    <w:rsid w:val="00D94560"/>
    <w:rsid w:val="00D9484D"/>
    <w:rsid w:val="00D95DF9"/>
    <w:rsid w:val="00D95FC9"/>
    <w:rsid w:val="00D97F0C"/>
    <w:rsid w:val="00DA04B8"/>
    <w:rsid w:val="00DA3037"/>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71F7"/>
    <w:rsid w:val="00E17F9A"/>
    <w:rsid w:val="00E20A43"/>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2E0A"/>
    <w:rsid w:val="00ED4B7F"/>
    <w:rsid w:val="00EE019C"/>
    <w:rsid w:val="00EF445F"/>
    <w:rsid w:val="00F02DF1"/>
    <w:rsid w:val="00F070AC"/>
    <w:rsid w:val="00F072D8"/>
    <w:rsid w:val="00F10B3C"/>
    <w:rsid w:val="00F1254B"/>
    <w:rsid w:val="00F26283"/>
    <w:rsid w:val="00F268D5"/>
    <w:rsid w:val="00F27A27"/>
    <w:rsid w:val="00F326B0"/>
    <w:rsid w:val="00F35AF4"/>
    <w:rsid w:val="00F37903"/>
    <w:rsid w:val="00F40684"/>
    <w:rsid w:val="00F42B39"/>
    <w:rsid w:val="00F44FB4"/>
    <w:rsid w:val="00F45588"/>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82B"/>
    <w:rsid w:val="00F94715"/>
    <w:rsid w:val="00FA009C"/>
    <w:rsid w:val="00FA1774"/>
    <w:rsid w:val="00FA2A02"/>
    <w:rsid w:val="00FA63CF"/>
    <w:rsid w:val="00FA748B"/>
    <w:rsid w:val="00FB3FFB"/>
    <w:rsid w:val="00FB4042"/>
    <w:rsid w:val="00FB4C33"/>
    <w:rsid w:val="00FB4D0E"/>
    <w:rsid w:val="00FC051F"/>
    <w:rsid w:val="00FC44D0"/>
    <w:rsid w:val="00FC5F28"/>
    <w:rsid w:val="00FC62A4"/>
    <w:rsid w:val="00FC6C23"/>
    <w:rsid w:val="00FD520B"/>
    <w:rsid w:val="00FE1D29"/>
    <w:rsid w:val="00FE21A4"/>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fig and tbl"/>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paragraph" w:customStyle="1" w:styleId="TdocText">
    <w:name w:val="Tdoc Text"/>
    <w:basedOn w:val="BodyText"/>
    <w:rsid w:val="005E4A6C"/>
    <w:pPr>
      <w:overflowPunct w:val="0"/>
      <w:autoSpaceDE w:val="0"/>
      <w:autoSpaceDN w:val="0"/>
      <w:adjustRightInd w:val="0"/>
      <w:spacing w:before="240" w:after="120"/>
      <w:ind w:firstLine="288"/>
      <w:jc w:val="both"/>
      <w:textAlignment w:val="baseline"/>
    </w:pPr>
    <w:rPr>
      <w:rFonts w:eastAsia="Times New Roman"/>
      <w:sz w:val="22"/>
    </w:rPr>
  </w:style>
  <w:style w:type="table" w:customStyle="1" w:styleId="TableGrid10">
    <w:name w:val="Table Grid1"/>
    <w:basedOn w:val="TableNormal"/>
    <w:next w:val="TableGrid"/>
    <w:uiPriority w:val="59"/>
    <w:qFormat/>
    <w:rsid w:val="005E4A6C"/>
    <w:pPr>
      <w:spacing w:before="120" w:line="280" w:lineRule="atLeast"/>
      <w:jc w:val="both"/>
    </w:pPr>
    <w:rPr>
      <w:rFonts w:ascii="New York"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E4A6C"/>
    <w:pPr>
      <w:spacing w:before="120" w:line="280" w:lineRule="atLeast"/>
      <w:jc w:val="both"/>
    </w:pPr>
    <w:rPr>
      <w:rFonts w:ascii="New York"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3686">
      <w:bodyDiv w:val="1"/>
      <w:marLeft w:val="0"/>
      <w:marRight w:val="0"/>
      <w:marTop w:val="0"/>
      <w:marBottom w:val="0"/>
      <w:divBdr>
        <w:top w:val="none" w:sz="0" w:space="0" w:color="auto"/>
        <w:left w:val="none" w:sz="0" w:space="0" w:color="auto"/>
        <w:bottom w:val="none" w:sz="0" w:space="0" w:color="auto"/>
        <w:right w:val="none" w:sz="0" w:space="0" w:color="auto"/>
      </w:divBdr>
    </w:div>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9166D-25A8-4605-97B0-5C14AC316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1704</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2020-08-07T07:27:00Z</dcterms:created>
  <dcterms:modified xsi:type="dcterms:W3CDTF">2020-10-23T19:59:00Z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